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R4-2504358</w:t>
      </w:r>
      <w:bookmarkStart w:id="9" w:name="_GoBack"/>
      <w:bookmarkEnd w:id="9"/>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52D26056">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3</w:t>
      </w:r>
    </w:p>
    <w:p w14:paraId="5AA00193">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eastAsia="宋体" w:cs="Arial"/>
          <w:b/>
          <w:sz w:val="24"/>
          <w:szCs w:val="24"/>
          <w:lang w:val="en-US" w:eastAsia="zh-CN"/>
        </w:rPr>
        <w:t>, Sanechips</w:t>
      </w:r>
    </w:p>
    <w:p w14:paraId="66F97A8A">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eastAsia="MS Mincho" w:cs="Arial"/>
          <w:b/>
          <w:sz w:val="24"/>
          <w:szCs w:val="24"/>
          <w:lang w:val="en-US" w:eastAsia="zh-CN"/>
        </w:rPr>
        <w:t xml:space="preserve">iscussion on </w:t>
      </w:r>
      <w:r>
        <w:rPr>
          <w:rFonts w:ascii="Arial" w:hAnsi="Arial" w:eastAsia="MS Mincho" w:cs="Arial"/>
          <w:b/>
          <w:sz w:val="24"/>
          <w:szCs w:val="24"/>
          <w:lang w:eastAsia="en-US"/>
        </w:rPr>
        <w:t>OTA test enhancement</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14:paraId="4AA94FA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AFA017E">
      <w:pPr>
        <w:pStyle w:val="57"/>
        <w:tabs>
          <w:tab w:val="left" w:pos="567"/>
          <w:tab w:val="clear" w:pos="1985"/>
        </w:tabs>
        <w:adjustRightInd w:val="0"/>
        <w:ind w:left="510" w:hanging="510"/>
      </w:pPr>
      <w:r>
        <w:t>Introduction</w:t>
      </w:r>
    </w:p>
    <w:p w14:paraId="301CEBEA">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last RAN4 meeting, we have some initial discussions on the necessity of improvement of co-location issues. In this contribution, we would like to share further views on the OTA co-location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A75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6E8C15A7">
            <w:pPr>
              <w:pStyle w:val="3"/>
              <w:suppressLineNumbers w:val="0"/>
              <w:spacing w:beforeAutospacing="0" w:afterAutospacing="0"/>
              <w:ind w:right="0"/>
              <w:rPr>
                <w:rFonts w:hint="default"/>
                <w:highlight w:val="yellow"/>
              </w:rPr>
            </w:pPr>
            <w:r>
              <w:rPr>
                <w:rFonts w:hint="default"/>
              </w:rPr>
              <w:t>Sub-topic 1-1: BS-to-BS isolation analysis</w:t>
            </w:r>
          </w:p>
          <w:p w14:paraId="2058F2BF">
            <w:pPr>
              <w:keepNext w:val="0"/>
              <w:keepLines w:val="0"/>
              <w:suppressLineNumbers w:val="0"/>
              <w:spacing w:before="0" w:beforeAutospacing="0" w:afterAutospacing="0"/>
              <w:ind w:left="0" w:right="0"/>
              <w:rPr>
                <w:rFonts w:hint="default"/>
              </w:rPr>
            </w:pPr>
            <w:r>
              <w:rPr>
                <w:rFonts w:hint="default"/>
                <w:b/>
                <w:lang w:eastAsia="zh-CN"/>
              </w:rPr>
              <w:t>Way forward</w:t>
            </w:r>
            <w:r>
              <w:rPr>
                <w:rFonts w:hint="default"/>
                <w:lang w:eastAsia="zh-CN"/>
              </w:rPr>
              <w:t>:</w:t>
            </w:r>
            <w:r>
              <w:rPr>
                <w:rFonts w:hint="default"/>
                <w:lang w:eastAsia="zh-CN"/>
              </w:rPr>
              <w:tab/>
            </w:r>
          </w:p>
          <w:p w14:paraId="0FA34CED">
            <w:pPr>
              <w:keepNext w:val="0"/>
              <w:keepLines w:val="0"/>
              <w:suppressLineNumbers w:val="0"/>
              <w:spacing w:before="0" w:beforeAutospacing="0" w:after="120" w:afterAutospacing="0"/>
              <w:ind w:left="0" w:right="0"/>
              <w:rPr>
                <w:rFonts w:hint="default"/>
                <w:color w:val="000000" w:themeColor="text1"/>
                <w:szCs w:val="24"/>
                <w:lang w:eastAsia="zh-CN"/>
                <w14:textFill>
                  <w14:solidFill>
                    <w14:schemeClr w14:val="tx1"/>
                  </w14:solidFill>
                </w14:textFill>
              </w:rPr>
            </w:pPr>
            <w:r>
              <w:rPr>
                <w:rFonts w:hint="default"/>
              </w:rPr>
              <w:t xml:space="preserve">BS-to-BS isolation </w:t>
            </w:r>
            <w:r>
              <w:rPr>
                <w:rFonts w:hint="default"/>
                <w:color w:val="000000" w:themeColor="text1"/>
                <w:szCs w:val="24"/>
                <w:lang w:eastAsia="zh-CN"/>
                <w14:textFill>
                  <w14:solidFill>
                    <w14:schemeClr w14:val="tx1"/>
                  </w14:solidFill>
                </w14:textFill>
              </w:rPr>
              <w:t xml:space="preserve">data collection to prioritize the following scenarios: </w:t>
            </w:r>
          </w:p>
          <w:p w14:paraId="18463754">
            <w:pPr>
              <w:pStyle w:val="36"/>
              <w:keepNext w:val="0"/>
              <w:keepLines w:val="0"/>
              <w:numPr>
                <w:ilvl w:val="0"/>
                <w:numId w:val="4"/>
              </w:numPr>
              <w:suppressLineNumbers w:val="0"/>
              <w:spacing w:before="0" w:beforeAutospacing="0" w:after="120" w:afterAutospacing="0"/>
              <w:ind w:right="0" w:firstLineChars="0"/>
              <w:rPr>
                <w:rFonts w:hint="default"/>
              </w:rPr>
            </w:pPr>
            <w:r>
              <w:rPr>
                <w:rFonts w:hint="default"/>
              </w:rPr>
              <w:t>Horizontal domain prioritized (vertical BS stacking analyses not precluded);</w:t>
            </w:r>
          </w:p>
          <w:p w14:paraId="53AF6C80">
            <w:pPr>
              <w:pStyle w:val="36"/>
              <w:keepNext w:val="0"/>
              <w:keepLines w:val="0"/>
              <w:numPr>
                <w:ilvl w:val="0"/>
                <w:numId w:val="4"/>
              </w:numPr>
              <w:suppressLineNumbers w:val="0"/>
              <w:spacing w:before="0" w:beforeAutospacing="0" w:after="120" w:afterAutospacing="0"/>
              <w:ind w:right="0" w:firstLineChars="0"/>
              <w:rPr>
                <w:rFonts w:hint="default"/>
              </w:rPr>
            </w:pPr>
            <w:r>
              <w:rPr>
                <w:rFonts w:hint="default"/>
                <w:color w:val="000000" w:themeColor="text1"/>
                <w:szCs w:val="24"/>
                <w:lang w:eastAsia="zh-CN"/>
                <w14:textFill>
                  <w14:solidFill>
                    <w14:schemeClr w14:val="tx1"/>
                  </w14:solidFill>
                </w14:textFill>
              </w:rPr>
              <w:t>Same-band analysis (inter-band analysis not precluded),</w:t>
            </w:r>
          </w:p>
          <w:p w14:paraId="11AECE94">
            <w:pPr>
              <w:pStyle w:val="36"/>
              <w:keepNext w:val="0"/>
              <w:keepLines w:val="0"/>
              <w:numPr>
                <w:ilvl w:val="0"/>
                <w:numId w:val="4"/>
              </w:numPr>
              <w:suppressLineNumbers w:val="0"/>
              <w:spacing w:before="0" w:beforeAutospacing="0" w:after="120" w:afterAutospacing="0"/>
              <w:ind w:right="0" w:firstLineChars="0"/>
              <w:rPr>
                <w:rFonts w:hint="default"/>
              </w:rPr>
            </w:pPr>
            <w:r>
              <w:rPr>
                <w:rFonts w:hint="default"/>
                <w:color w:val="000000" w:themeColor="text1"/>
                <w:szCs w:val="24"/>
                <w:lang w:eastAsia="zh-CN"/>
                <w14:textFill>
                  <w14:solidFill>
                    <w14:schemeClr w14:val="tx1"/>
                  </w14:solidFill>
                </w14:textFill>
              </w:rPr>
              <w:t xml:space="preserve">Array-to-array case (array to sub-array not precluded); </w:t>
            </w:r>
          </w:p>
          <w:p w14:paraId="061084FE">
            <w:pPr>
              <w:pStyle w:val="36"/>
              <w:keepNext w:val="0"/>
              <w:keepLines w:val="0"/>
              <w:numPr>
                <w:ilvl w:val="0"/>
                <w:numId w:val="4"/>
              </w:numPr>
              <w:suppressLineNumbers w:val="0"/>
              <w:spacing w:before="0" w:beforeAutospacing="0" w:after="120" w:afterAutospacing="0"/>
              <w:ind w:right="0" w:firstLineChars="0"/>
              <w:rPr>
                <w:rFonts w:hint="default"/>
                <w:b/>
                <w:bCs/>
              </w:rPr>
            </w:pPr>
            <w:r>
              <w:rPr>
                <w:rFonts w:hint="default"/>
              </w:rPr>
              <w:t>Same BS type for aggressor and victim (mixed cases of various BS types not precluded).</w:t>
            </w:r>
          </w:p>
          <w:p w14:paraId="09000B2D">
            <w:pPr>
              <w:keepNext w:val="0"/>
              <w:keepLines w:val="0"/>
              <w:suppressLineNumbers w:val="0"/>
              <w:spacing w:before="0" w:beforeAutospacing="0" w:after="120" w:afterAutospacing="0"/>
              <w:ind w:left="0" w:right="0"/>
              <w:rPr>
                <w:rFonts w:hint="default"/>
              </w:rPr>
            </w:pPr>
            <w:r>
              <w:rPr>
                <w:rFonts w:hint="default"/>
              </w:rPr>
              <w:t>Guidance for collection of future results: Companies to clarify on the statistical distribution of the results provided (i.e., worst case, CDF, etc.)</w:t>
            </w:r>
          </w:p>
          <w:p w14:paraId="1F125343">
            <w:pPr>
              <w:keepNext w:val="0"/>
              <w:keepLines w:val="0"/>
              <w:suppressLineNumbers w:val="0"/>
              <w:spacing w:before="0" w:beforeAutospacing="0" w:after="120" w:afterAutospacing="0"/>
              <w:ind w:left="0" w:right="0"/>
              <w:rPr>
                <w:rFonts w:hint="default"/>
                <w:u w:val="single"/>
              </w:rPr>
            </w:pPr>
            <w:r>
              <w:rPr>
                <w:rFonts w:hint="default"/>
              </w:rPr>
              <w:t>For the derivation of the conclusion, [95-99</w:t>
            </w:r>
            <w:r>
              <w:rPr>
                <w:rFonts w:hint="default"/>
                <w:vertAlign w:val="superscript"/>
              </w:rPr>
              <w:t>th</w:t>
            </w:r>
            <w:r>
              <w:rPr>
                <w:rFonts w:hint="default"/>
              </w:rPr>
              <w:t>] percentile of CDF is expected to be used for simulations, or the worst-case results from measurements.</w:t>
            </w:r>
          </w:p>
          <w:p w14:paraId="47F1998B">
            <w:pPr>
              <w:keepNext w:val="0"/>
              <w:keepLines w:val="0"/>
              <w:suppressLineNumbers w:val="0"/>
              <w:spacing w:before="0" w:beforeAutospacing="0" w:after="120" w:afterAutospacing="0"/>
              <w:ind w:left="0" w:right="0"/>
              <w:rPr>
                <w:rFonts w:hint="default"/>
                <w:color w:val="000000" w:themeColor="text1"/>
                <w:szCs w:val="24"/>
                <w:lang w:eastAsia="zh-CN"/>
                <w14:textFill>
                  <w14:solidFill>
                    <w14:schemeClr w14:val="tx1"/>
                  </w14:solidFill>
                </w14:textFill>
              </w:rPr>
            </w:pPr>
            <w:r>
              <w:rPr>
                <w:rFonts w:hint="default"/>
              </w:rPr>
              <w:t xml:space="preserve">BS-to-BS isolation </w:t>
            </w:r>
            <w:r>
              <w:rPr>
                <w:rFonts w:hint="default"/>
                <w:color w:val="000000" w:themeColor="text1"/>
                <w:szCs w:val="24"/>
                <w:lang w:eastAsia="zh-CN"/>
                <w14:textFill>
                  <w14:solidFill>
                    <w14:schemeClr w14:val="tx1"/>
                  </w14:solidFill>
                </w14:textFill>
              </w:rPr>
              <w:t>data (simulations, or measurements) to be collected on top of the data already collected in the following table formats:</w:t>
            </w:r>
          </w:p>
          <w:p w14:paraId="1C4278F7">
            <w:pPr>
              <w:pStyle w:val="36"/>
              <w:keepNext w:val="0"/>
              <w:keepLines w:val="0"/>
              <w:numPr>
                <w:ilvl w:val="0"/>
                <w:numId w:val="5"/>
              </w:numPr>
              <w:suppressLineNumbers w:val="0"/>
              <w:spacing w:before="0" w:beforeAutospacing="0" w:after="120" w:afterAutospacing="0"/>
              <w:ind w:right="0" w:firstLineChars="0"/>
              <w:rPr>
                <w:rFonts w:hint="default"/>
                <w:color w:val="000000" w:themeColor="text1"/>
                <w:szCs w:val="24"/>
                <w:lang w:eastAsia="zh-CN"/>
                <w14:textFill>
                  <w14:solidFill>
                    <w14:schemeClr w14:val="tx1"/>
                  </w14:solidFill>
                </w14:textFill>
              </w:rPr>
            </w:pPr>
            <w:r>
              <w:rPr>
                <w:rFonts w:hint="default"/>
                <w:color w:val="000000" w:themeColor="text1"/>
                <w:szCs w:val="24"/>
                <w:lang w:eastAsia="zh-CN"/>
                <w14:textFill>
                  <w14:solidFill>
                    <w14:schemeClr w14:val="tx1"/>
                  </w14:solidFill>
                </w14:textFill>
              </w:rPr>
              <w:t>No beam steering consideration; same band; same BS type; A-to-A (unless otherwise stated):</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581"/>
              <w:gridCol w:w="2149"/>
              <w:gridCol w:w="1901"/>
              <w:gridCol w:w="2452"/>
            </w:tblGrid>
            <w:tr w14:paraId="27D4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0769EBB3">
                  <w:pPr>
                    <w:pStyle w:val="21"/>
                    <w:keepNext w:val="0"/>
                    <w:keepLines w:val="0"/>
                    <w:suppressLineNumbers w:val="0"/>
                    <w:ind w:left="0" w:right="0"/>
                    <w:jc w:val="center"/>
                    <w:rPr>
                      <w:rFonts w:hint="default" w:ascii="Times New Roman" w:hAnsi="Times New Roman" w:cs="Times New Roman"/>
                      <w:sz w:val="20"/>
                      <w:szCs w:val="20"/>
                      <w:lang w:val="en-GB"/>
                    </w:rPr>
                  </w:pPr>
                </w:p>
              </w:tc>
              <w:tc>
                <w:tcPr>
                  <w:tcW w:w="1581" w:type="dxa"/>
                </w:tcPr>
                <w:p w14:paraId="0583D6D2">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2.6 GHz</w:t>
                  </w:r>
                </w:p>
              </w:tc>
              <w:tc>
                <w:tcPr>
                  <w:tcW w:w="2149" w:type="dxa"/>
                </w:tcPr>
                <w:p w14:paraId="2DD4F0E2">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3.5 GHz</w:t>
                  </w:r>
                </w:p>
              </w:tc>
              <w:tc>
                <w:tcPr>
                  <w:tcW w:w="1901" w:type="dxa"/>
                </w:tcPr>
                <w:p w14:paraId="5D29E996">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4.9 GHz</w:t>
                  </w:r>
                </w:p>
              </w:tc>
              <w:tc>
                <w:tcPr>
                  <w:tcW w:w="2452" w:type="dxa"/>
                </w:tcPr>
                <w:p w14:paraId="2BF31761">
                  <w:pPr>
                    <w:pStyle w:val="21"/>
                    <w:keepNext w:val="0"/>
                    <w:keepLines w:val="0"/>
                    <w:suppressLineNumbers w:val="0"/>
                    <w:ind w:left="0" w:right="0"/>
                    <w:jc w:val="center"/>
                    <w:rPr>
                      <w:rFonts w:hint="default" w:ascii="Times New Roman" w:hAnsi="Times New Roman" w:cs="Times New Roman"/>
                      <w:b/>
                      <w:bCs/>
                      <w:sz w:val="20"/>
                      <w:szCs w:val="20"/>
                    </w:rPr>
                  </w:pPr>
                  <w:r>
                    <w:rPr>
                      <w:rFonts w:hint="default" w:ascii="Times New Roman" w:hAnsi="Times New Roman" w:cs="Times New Roman"/>
                      <w:b/>
                      <w:bCs/>
                      <w:sz w:val="20"/>
                      <w:szCs w:val="20"/>
                    </w:rPr>
                    <w:t>7 GHz</w:t>
                  </w:r>
                </w:p>
              </w:tc>
            </w:tr>
            <w:tr w14:paraId="4AE0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64EFC5">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Isolation in vertical domain (dB)</w:t>
                  </w:r>
                </w:p>
              </w:tc>
              <w:tc>
                <w:tcPr>
                  <w:tcW w:w="1581" w:type="dxa"/>
                </w:tcPr>
                <w:p w14:paraId="2C4F2392">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ZTE</w:t>
                  </w:r>
                  <w:r>
                    <w:rPr>
                      <w:rFonts w:hint="default" w:ascii="Times New Roman" w:hAnsi="Times New Roman" w:cs="Times New Roman"/>
                      <w:sz w:val="20"/>
                      <w:szCs w:val="20"/>
                      <w:lang w:val="pl-PL"/>
                    </w:rPr>
                    <w:t xml:space="preserve"> (M, R4-2501875)</w:t>
                  </w:r>
                  <w:r>
                    <w:rPr>
                      <w:rFonts w:hint="default" w:ascii="Times New Roman" w:hAnsi="Times New Roman" w:cs="Times New Roman"/>
                      <w:sz w:val="20"/>
                      <w:szCs w:val="20"/>
                    </w:rPr>
                    <w:t>: -54</w:t>
                  </w:r>
                </w:p>
              </w:tc>
              <w:tc>
                <w:tcPr>
                  <w:tcW w:w="2149" w:type="dxa"/>
                </w:tcPr>
                <w:p w14:paraId="73146B0F">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ZTE (R4-2501875): -52</w:t>
                  </w:r>
                </w:p>
              </w:tc>
              <w:tc>
                <w:tcPr>
                  <w:tcW w:w="1901" w:type="dxa"/>
                </w:tcPr>
                <w:p w14:paraId="715C022D">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ZTE (</w:t>
                  </w:r>
                  <w:r>
                    <w:rPr>
                      <w:rFonts w:hint="default" w:ascii="Times New Roman" w:hAnsi="Times New Roman" w:cs="Times New Roman"/>
                      <w:sz w:val="20"/>
                      <w:szCs w:val="20"/>
                      <w:lang w:val="pl-PL"/>
                    </w:rPr>
                    <w:t>M, R4-2501875</w:t>
                  </w:r>
                  <w:r>
                    <w:rPr>
                      <w:rFonts w:hint="default" w:ascii="Times New Roman" w:hAnsi="Times New Roman" w:cs="Times New Roman"/>
                      <w:sz w:val="20"/>
                      <w:szCs w:val="20"/>
                    </w:rPr>
                    <w:t>): -56</w:t>
                  </w:r>
                </w:p>
              </w:tc>
              <w:tc>
                <w:tcPr>
                  <w:tcW w:w="2452" w:type="dxa"/>
                </w:tcPr>
                <w:p w14:paraId="71CC6F8E">
                  <w:pPr>
                    <w:pStyle w:val="21"/>
                    <w:keepNext w:val="0"/>
                    <w:keepLines w:val="0"/>
                    <w:suppressLineNumbers w:val="0"/>
                    <w:ind w:left="0" w:right="0"/>
                    <w:jc w:val="center"/>
                    <w:rPr>
                      <w:rFonts w:hint="default" w:ascii="Times New Roman" w:hAnsi="Times New Roman" w:cs="Times New Roman"/>
                      <w:sz w:val="20"/>
                      <w:szCs w:val="20"/>
                    </w:rPr>
                  </w:pPr>
                </w:p>
              </w:tc>
            </w:tr>
            <w:tr w14:paraId="37BC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9389A6">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Isolation in horizontal domain (dB)</w:t>
                  </w:r>
                </w:p>
              </w:tc>
              <w:tc>
                <w:tcPr>
                  <w:tcW w:w="1581" w:type="dxa"/>
                </w:tcPr>
                <w:p w14:paraId="28146FC9">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ZTE</w:t>
                  </w:r>
                  <w:r>
                    <w:rPr>
                      <w:rFonts w:hint="default" w:ascii="Times New Roman" w:hAnsi="Times New Roman" w:cs="Times New Roman"/>
                      <w:sz w:val="20"/>
                      <w:szCs w:val="20"/>
                      <w:lang w:val="pl-PL"/>
                    </w:rPr>
                    <w:t xml:space="preserve"> (M, R4-2501875)</w:t>
                  </w:r>
                  <w:r>
                    <w:rPr>
                      <w:rFonts w:hint="default" w:ascii="Times New Roman" w:hAnsi="Times New Roman" w:cs="Times New Roman"/>
                      <w:sz w:val="20"/>
                      <w:szCs w:val="20"/>
                    </w:rPr>
                    <w:t>: -31</w:t>
                  </w:r>
                </w:p>
              </w:tc>
              <w:tc>
                <w:tcPr>
                  <w:tcW w:w="2149" w:type="dxa"/>
                </w:tcPr>
                <w:p w14:paraId="33113AA0">
                  <w:pPr>
                    <w:pStyle w:val="21"/>
                    <w:keepNext w:val="0"/>
                    <w:keepLines w:val="0"/>
                    <w:suppressLineNumbers w:val="0"/>
                    <w:ind w:left="0" w:right="0"/>
                    <w:jc w:val="center"/>
                    <w:rPr>
                      <w:rFonts w:hint="default" w:ascii="Times New Roman" w:hAnsi="Times New Roman" w:cs="Times New Roman"/>
                      <w:sz w:val="20"/>
                      <w:szCs w:val="20"/>
                      <w:lang w:val="pl-PL"/>
                    </w:rPr>
                  </w:pPr>
                  <w:r>
                    <w:rPr>
                      <w:rFonts w:hint="default" w:ascii="Times New Roman" w:hAnsi="Times New Roman" w:cs="Times New Roman"/>
                      <w:sz w:val="20"/>
                      <w:szCs w:val="20"/>
                      <w:lang w:val="pl-PL"/>
                    </w:rPr>
                    <w:t>ZTE (M, R4-2501875): -34</w:t>
                  </w:r>
                </w:p>
                <w:p w14:paraId="3702E657">
                  <w:pPr>
                    <w:pStyle w:val="21"/>
                    <w:keepNext w:val="0"/>
                    <w:keepLines w:val="0"/>
                    <w:suppressLineNumbers w:val="0"/>
                    <w:ind w:left="0" w:right="0"/>
                    <w:jc w:val="center"/>
                    <w:rPr>
                      <w:rFonts w:hint="default" w:ascii="Times New Roman" w:hAnsi="Times New Roman" w:cs="Times New Roman"/>
                      <w:sz w:val="20"/>
                      <w:szCs w:val="20"/>
                      <w:lang w:val="pl-PL"/>
                    </w:rPr>
                  </w:pPr>
                  <w:r>
                    <w:rPr>
                      <w:rFonts w:hint="default" w:ascii="Times New Roman" w:hAnsi="Times New Roman" w:cs="Times New Roman"/>
                      <w:sz w:val="20"/>
                      <w:szCs w:val="20"/>
                      <w:lang w:val="pl-PL"/>
                    </w:rPr>
                    <w:t>Huawei (M, R4-2502135): -46</w:t>
                  </w:r>
                </w:p>
                <w:p w14:paraId="054B65C2">
                  <w:pPr>
                    <w:pStyle w:val="21"/>
                    <w:keepNext w:val="0"/>
                    <w:keepLines w:val="0"/>
                    <w:suppressLineNumbers w:val="0"/>
                    <w:ind w:left="0" w:right="0"/>
                    <w:jc w:val="center"/>
                    <w:rPr>
                      <w:rFonts w:hint="default" w:ascii="Times New Roman" w:hAnsi="Times New Roman" w:cs="Times New Roman"/>
                      <w:sz w:val="20"/>
                      <w:szCs w:val="20"/>
                      <w:lang w:val="pl-PL"/>
                    </w:rPr>
                  </w:pPr>
                </w:p>
              </w:tc>
              <w:tc>
                <w:tcPr>
                  <w:tcW w:w="1901" w:type="dxa"/>
                </w:tcPr>
                <w:p w14:paraId="388B8843">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ZTE (</w:t>
                  </w:r>
                  <w:r>
                    <w:rPr>
                      <w:rFonts w:hint="default" w:ascii="Times New Roman" w:hAnsi="Times New Roman" w:cs="Times New Roman"/>
                      <w:sz w:val="20"/>
                      <w:szCs w:val="20"/>
                      <w:lang w:val="pl-PL"/>
                    </w:rPr>
                    <w:t>M, R4-2501875</w:t>
                  </w:r>
                  <w:r>
                    <w:rPr>
                      <w:rFonts w:hint="default" w:ascii="Times New Roman" w:hAnsi="Times New Roman" w:cs="Times New Roman"/>
                      <w:sz w:val="20"/>
                      <w:szCs w:val="20"/>
                    </w:rPr>
                    <w:t>): -46</w:t>
                  </w:r>
                </w:p>
              </w:tc>
              <w:tc>
                <w:tcPr>
                  <w:tcW w:w="2452" w:type="dxa"/>
                </w:tcPr>
                <w:p w14:paraId="5BF74270">
                  <w:pPr>
                    <w:pStyle w:val="21"/>
                    <w:keepNext w:val="0"/>
                    <w:keepLines w:val="0"/>
                    <w:suppressLineNumbers w:val="0"/>
                    <w:ind w:left="0" w:right="0"/>
                    <w:jc w:val="center"/>
                    <w:rPr>
                      <w:rFonts w:hint="default" w:ascii="Times New Roman" w:hAnsi="Times New Roman" w:cs="Times New Roman"/>
                      <w:sz w:val="20"/>
                      <w:szCs w:val="20"/>
                    </w:rPr>
                  </w:pPr>
                </w:p>
              </w:tc>
            </w:tr>
            <w:tr w14:paraId="3EDA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0457" w:type="dxa"/>
                  <w:gridSpan w:val="5"/>
                </w:tcPr>
                <w:p w14:paraId="5BC4515C">
                  <w:pPr>
                    <w:pStyle w:val="36"/>
                    <w:keepNext w:val="0"/>
                    <w:keepLines w:val="0"/>
                    <w:numPr>
                      <w:ilvl w:val="0"/>
                      <w:numId w:val="6"/>
                    </w:numPr>
                    <w:suppressLineNumbers w:val="0"/>
                    <w:spacing w:before="0" w:beforeAutospacing="0" w:afterAutospacing="0"/>
                    <w:ind w:right="0" w:firstLineChars="0"/>
                    <w:rPr>
                      <w:rFonts w:hint="default"/>
                    </w:rPr>
                  </w:pPr>
                  <w:r>
                    <w:rPr>
                      <w:rFonts w:hint="default"/>
                    </w:rPr>
                    <w:t>S: simulations</w:t>
                  </w:r>
                </w:p>
                <w:p w14:paraId="15722924">
                  <w:pPr>
                    <w:pStyle w:val="36"/>
                    <w:keepNext w:val="0"/>
                    <w:keepLines w:val="0"/>
                    <w:numPr>
                      <w:ilvl w:val="0"/>
                      <w:numId w:val="6"/>
                    </w:numPr>
                    <w:suppressLineNumbers w:val="0"/>
                    <w:spacing w:before="0" w:beforeAutospacing="0" w:afterAutospacing="0"/>
                    <w:ind w:right="0" w:firstLineChars="0"/>
                    <w:rPr>
                      <w:rFonts w:hint="default"/>
                    </w:rPr>
                  </w:pPr>
                  <w:r>
                    <w:rPr>
                      <w:rFonts w:hint="default"/>
                    </w:rPr>
                    <w:t>M: measurements</w:t>
                  </w:r>
                </w:p>
                <w:p w14:paraId="57A10113">
                  <w:pPr>
                    <w:pStyle w:val="36"/>
                    <w:keepNext w:val="0"/>
                    <w:keepLines w:val="0"/>
                    <w:numPr>
                      <w:ilvl w:val="0"/>
                      <w:numId w:val="6"/>
                    </w:numPr>
                    <w:suppressLineNumbers w:val="0"/>
                    <w:spacing w:before="0" w:beforeAutospacing="0" w:afterAutospacing="0"/>
                    <w:ind w:right="0" w:firstLineChars="0"/>
                    <w:rPr>
                      <w:rFonts w:hint="default"/>
                    </w:rPr>
                  </w:pPr>
                  <w:r>
                    <w:rPr>
                      <w:rFonts w:hint="default"/>
                    </w:rPr>
                    <w:t>A-to-A: array to array coupling</w:t>
                  </w:r>
                </w:p>
                <w:p w14:paraId="508CA675">
                  <w:pPr>
                    <w:pStyle w:val="36"/>
                    <w:keepNext w:val="0"/>
                    <w:keepLines w:val="0"/>
                    <w:numPr>
                      <w:ilvl w:val="0"/>
                      <w:numId w:val="6"/>
                    </w:numPr>
                    <w:suppressLineNumbers w:val="0"/>
                    <w:spacing w:before="0" w:beforeAutospacing="0" w:afterAutospacing="0"/>
                    <w:ind w:right="0" w:firstLineChars="0"/>
                    <w:rPr>
                      <w:rFonts w:hint="default"/>
                    </w:rPr>
                  </w:pPr>
                  <w:r>
                    <w:rPr>
                      <w:rFonts w:hint="default"/>
                    </w:rPr>
                    <w:t>A-to-SA: array to sub-array coupling</w:t>
                  </w:r>
                </w:p>
              </w:tc>
            </w:tr>
          </w:tbl>
          <w:p w14:paraId="1ABAB770">
            <w:pPr>
              <w:keepNext w:val="0"/>
              <w:keepLines w:val="0"/>
              <w:suppressLineNumbers w:val="0"/>
              <w:spacing w:before="0" w:beforeAutospacing="0" w:afterAutospacing="0"/>
              <w:ind w:left="0" w:right="0"/>
              <w:rPr>
                <w:rFonts w:hint="default" w:ascii="Calibri" w:hAnsi="Calibri" w:cs="Calibri"/>
                <w:sz w:val="22"/>
                <w:szCs w:val="22"/>
              </w:rPr>
            </w:pPr>
          </w:p>
          <w:p w14:paraId="0A2419BC">
            <w:pPr>
              <w:pStyle w:val="36"/>
              <w:keepNext w:val="0"/>
              <w:keepLines w:val="0"/>
              <w:numPr>
                <w:ilvl w:val="0"/>
                <w:numId w:val="5"/>
              </w:numPr>
              <w:suppressLineNumbers w:val="0"/>
              <w:spacing w:before="0" w:beforeAutospacing="0" w:after="120" w:afterAutospacing="0"/>
              <w:ind w:right="0" w:firstLineChars="0"/>
              <w:rPr>
                <w:rFonts w:hint="default"/>
                <w:color w:val="000000" w:themeColor="text1"/>
                <w:szCs w:val="24"/>
                <w:lang w:eastAsia="zh-CN"/>
                <w14:textFill>
                  <w14:solidFill>
                    <w14:schemeClr w14:val="tx1"/>
                  </w14:solidFill>
                </w14:textFill>
              </w:rPr>
            </w:pPr>
            <w:r>
              <w:rPr>
                <w:rFonts w:hint="default"/>
                <w:color w:val="000000" w:themeColor="text1"/>
                <w:szCs w:val="24"/>
                <w:lang w:eastAsia="zh-CN"/>
                <w14:textFill>
                  <w14:solidFill>
                    <w14:schemeClr w14:val="tx1"/>
                  </w14:solidFill>
                </w14:textFill>
              </w:rPr>
              <w:t>Beam steering consideration; same band; same BS type; A-to-A (unless otherwise stated):</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1"/>
              <w:gridCol w:w="1081"/>
              <w:gridCol w:w="2597"/>
              <w:gridCol w:w="1447"/>
              <w:gridCol w:w="2820"/>
            </w:tblGrid>
            <w:tr w14:paraId="00D5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6C19E377">
                  <w:pPr>
                    <w:pStyle w:val="21"/>
                    <w:keepNext w:val="0"/>
                    <w:keepLines w:val="0"/>
                    <w:suppressLineNumbers w:val="0"/>
                    <w:ind w:left="0" w:right="0"/>
                    <w:jc w:val="center"/>
                    <w:rPr>
                      <w:rFonts w:hint="default" w:ascii="Times New Roman" w:hAnsi="Times New Roman" w:cs="Times New Roman"/>
                      <w:sz w:val="20"/>
                      <w:szCs w:val="20"/>
                    </w:rPr>
                  </w:pPr>
                </w:p>
              </w:tc>
              <w:tc>
                <w:tcPr>
                  <w:tcW w:w="1081" w:type="dxa"/>
                </w:tcPr>
                <w:p w14:paraId="38383FC5">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2.6 GHz</w:t>
                  </w:r>
                </w:p>
              </w:tc>
              <w:tc>
                <w:tcPr>
                  <w:tcW w:w="2597" w:type="dxa"/>
                </w:tcPr>
                <w:p w14:paraId="60F34600">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3.5 GHz</w:t>
                  </w:r>
                </w:p>
              </w:tc>
              <w:tc>
                <w:tcPr>
                  <w:tcW w:w="1447" w:type="dxa"/>
                </w:tcPr>
                <w:p w14:paraId="6FD15B3E">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b/>
                      <w:bCs/>
                      <w:sz w:val="20"/>
                      <w:szCs w:val="20"/>
                    </w:rPr>
                    <w:t>4.9 GHz</w:t>
                  </w:r>
                </w:p>
              </w:tc>
              <w:tc>
                <w:tcPr>
                  <w:tcW w:w="0" w:type="auto"/>
                </w:tcPr>
                <w:p w14:paraId="4DA65348">
                  <w:pPr>
                    <w:pStyle w:val="21"/>
                    <w:keepNext w:val="0"/>
                    <w:keepLines w:val="0"/>
                    <w:suppressLineNumbers w:val="0"/>
                    <w:ind w:left="0" w:right="0"/>
                    <w:jc w:val="center"/>
                    <w:rPr>
                      <w:rFonts w:hint="default" w:ascii="Times New Roman" w:hAnsi="Times New Roman" w:cs="Times New Roman"/>
                      <w:b/>
                      <w:bCs/>
                      <w:sz w:val="20"/>
                      <w:szCs w:val="20"/>
                    </w:rPr>
                  </w:pPr>
                  <w:r>
                    <w:rPr>
                      <w:rFonts w:hint="default" w:ascii="Times New Roman" w:hAnsi="Times New Roman" w:cs="Times New Roman"/>
                      <w:b/>
                      <w:bCs/>
                      <w:sz w:val="20"/>
                      <w:szCs w:val="20"/>
                    </w:rPr>
                    <w:t>6.7 GHz --&gt; 7 GHz</w:t>
                  </w:r>
                </w:p>
              </w:tc>
            </w:tr>
            <w:tr w14:paraId="7C35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D09F30">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Isolation in vertical domain (dB)</w:t>
                  </w:r>
                </w:p>
              </w:tc>
              <w:tc>
                <w:tcPr>
                  <w:tcW w:w="1081" w:type="dxa"/>
                </w:tcPr>
                <w:p w14:paraId="4F77C4B0">
                  <w:pPr>
                    <w:pStyle w:val="21"/>
                    <w:keepNext w:val="0"/>
                    <w:keepLines w:val="0"/>
                    <w:suppressLineNumbers w:val="0"/>
                    <w:ind w:left="0" w:right="0"/>
                    <w:jc w:val="center"/>
                    <w:rPr>
                      <w:rFonts w:hint="default" w:ascii="Times New Roman" w:hAnsi="Times New Roman" w:cs="Times New Roman"/>
                      <w:sz w:val="20"/>
                      <w:szCs w:val="20"/>
                    </w:rPr>
                  </w:pPr>
                </w:p>
              </w:tc>
              <w:tc>
                <w:tcPr>
                  <w:tcW w:w="2597" w:type="dxa"/>
                </w:tcPr>
                <w:p w14:paraId="40C16785">
                  <w:pPr>
                    <w:pStyle w:val="21"/>
                    <w:keepNext w:val="0"/>
                    <w:keepLines w:val="0"/>
                    <w:suppressLineNumbers w:val="0"/>
                    <w:ind w:left="0" w:right="0"/>
                    <w:jc w:val="center"/>
                    <w:rPr>
                      <w:rFonts w:hint="default" w:ascii="Times New Roman" w:hAnsi="Times New Roman" w:cs="Times New Roman"/>
                      <w:sz w:val="20"/>
                      <w:szCs w:val="20"/>
                    </w:rPr>
                  </w:pPr>
                </w:p>
              </w:tc>
              <w:tc>
                <w:tcPr>
                  <w:tcW w:w="1447" w:type="dxa"/>
                </w:tcPr>
                <w:p w14:paraId="56AD37BA">
                  <w:pPr>
                    <w:pStyle w:val="21"/>
                    <w:keepNext w:val="0"/>
                    <w:keepLines w:val="0"/>
                    <w:suppressLineNumbers w:val="0"/>
                    <w:ind w:left="0" w:right="0"/>
                    <w:jc w:val="center"/>
                    <w:rPr>
                      <w:rFonts w:hint="default" w:ascii="Times New Roman" w:hAnsi="Times New Roman" w:cs="Times New Roman"/>
                      <w:sz w:val="20"/>
                      <w:szCs w:val="20"/>
                    </w:rPr>
                  </w:pPr>
                </w:p>
              </w:tc>
              <w:tc>
                <w:tcPr>
                  <w:tcW w:w="0" w:type="auto"/>
                </w:tcPr>
                <w:p w14:paraId="4E3FAF50">
                  <w:pPr>
                    <w:pStyle w:val="21"/>
                    <w:keepNext w:val="0"/>
                    <w:keepLines w:val="0"/>
                    <w:suppressLineNumbers w:val="0"/>
                    <w:ind w:left="0" w:right="0"/>
                    <w:jc w:val="center"/>
                    <w:rPr>
                      <w:rFonts w:hint="default" w:ascii="Times New Roman" w:hAnsi="Times New Roman" w:cs="Times New Roman"/>
                      <w:sz w:val="20"/>
                      <w:szCs w:val="20"/>
                    </w:rPr>
                  </w:pPr>
                </w:p>
              </w:tc>
            </w:tr>
            <w:tr w14:paraId="1E99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AAD97C0">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Isolation in horizontal domain (dB)</w:t>
                  </w:r>
                </w:p>
              </w:tc>
              <w:tc>
                <w:tcPr>
                  <w:tcW w:w="1081" w:type="dxa"/>
                </w:tcPr>
                <w:p w14:paraId="60A37BF0">
                  <w:pPr>
                    <w:pStyle w:val="21"/>
                    <w:keepNext w:val="0"/>
                    <w:keepLines w:val="0"/>
                    <w:suppressLineNumbers w:val="0"/>
                    <w:ind w:left="0" w:right="0"/>
                    <w:jc w:val="center"/>
                    <w:rPr>
                      <w:rFonts w:hint="default" w:ascii="Times New Roman" w:hAnsi="Times New Roman" w:cs="Times New Roman"/>
                      <w:sz w:val="20"/>
                      <w:szCs w:val="20"/>
                    </w:rPr>
                  </w:pPr>
                </w:p>
              </w:tc>
              <w:tc>
                <w:tcPr>
                  <w:tcW w:w="2597" w:type="dxa"/>
                </w:tcPr>
                <w:p w14:paraId="4AF73C46">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S: Ericsson (R4-2418398): A-to-SA: -55±20 dB</w:t>
                  </w:r>
                </w:p>
              </w:tc>
              <w:tc>
                <w:tcPr>
                  <w:tcW w:w="1447" w:type="dxa"/>
                </w:tcPr>
                <w:p w14:paraId="09D0297E">
                  <w:pPr>
                    <w:pStyle w:val="21"/>
                    <w:keepNext w:val="0"/>
                    <w:keepLines w:val="0"/>
                    <w:suppressLineNumbers w:val="0"/>
                    <w:ind w:left="0" w:right="0"/>
                    <w:jc w:val="center"/>
                    <w:rPr>
                      <w:rFonts w:hint="default" w:ascii="Times New Roman" w:hAnsi="Times New Roman" w:cs="Times New Roman"/>
                      <w:sz w:val="20"/>
                      <w:szCs w:val="20"/>
                    </w:rPr>
                  </w:pPr>
                </w:p>
              </w:tc>
              <w:tc>
                <w:tcPr>
                  <w:tcW w:w="0" w:type="auto"/>
                </w:tcPr>
                <w:p w14:paraId="11D47502">
                  <w:pPr>
                    <w:pStyle w:val="21"/>
                    <w:keepNext w:val="0"/>
                    <w:keepLines w:val="0"/>
                    <w:suppressLineNumbers w:val="0"/>
                    <w:ind w:left="0" w:right="0"/>
                    <w:jc w:val="center"/>
                    <w:rPr>
                      <w:rFonts w:hint="default" w:ascii="Times New Roman" w:hAnsi="Times New Roman" w:cs="Times New Roman"/>
                      <w:sz w:val="20"/>
                      <w:szCs w:val="20"/>
                    </w:rPr>
                  </w:pPr>
                  <w:r>
                    <w:rPr>
                      <w:rFonts w:hint="default" w:ascii="Times New Roman" w:hAnsi="Times New Roman" w:cs="Times New Roman"/>
                      <w:sz w:val="20"/>
                      <w:szCs w:val="20"/>
                    </w:rPr>
                    <w:t>S: Ericsson (R4-2502160): A-to-A: -77±25; A-to-SA: -70±20</w:t>
                  </w:r>
                </w:p>
              </w:tc>
            </w:tr>
          </w:tbl>
          <w:p w14:paraId="01BFA8A0">
            <w:pPr>
              <w:keepNext w:val="0"/>
              <w:keepLines w:val="0"/>
              <w:suppressLineNumbers w:val="0"/>
              <w:spacing w:before="0" w:beforeAutospacing="0" w:afterAutospacing="0"/>
              <w:ind w:left="0" w:right="0"/>
              <w:rPr>
                <w:rFonts w:hint="default" w:ascii="Calibri" w:hAnsi="Calibri" w:cs="Calibri"/>
                <w:sz w:val="22"/>
                <w:szCs w:val="22"/>
                <w:highlight w:val="cyan"/>
              </w:rPr>
            </w:pPr>
          </w:p>
          <w:p w14:paraId="4EDCFE5F">
            <w:pPr>
              <w:keepNext w:val="0"/>
              <w:keepLines w:val="0"/>
              <w:suppressLineNumbers w:val="0"/>
              <w:spacing w:before="0" w:beforeAutospacing="0" w:afterAutospacing="0"/>
              <w:ind w:left="0" w:right="0"/>
              <w:rPr>
                <w:rFonts w:hint="default"/>
              </w:rPr>
            </w:pPr>
            <w:r>
              <w:rPr>
                <w:rFonts w:hint="default"/>
              </w:rPr>
              <w:t>For the deprioritized scenarios, reuse table templates as above.</w:t>
            </w:r>
          </w:p>
          <w:p w14:paraId="75245472">
            <w:pPr>
              <w:pStyle w:val="36"/>
              <w:keepNext w:val="0"/>
              <w:keepLines w:val="0"/>
              <w:numPr>
                <w:ilvl w:val="0"/>
                <w:numId w:val="5"/>
              </w:numPr>
              <w:suppressLineNumbers w:val="0"/>
              <w:spacing w:before="0" w:beforeAutospacing="0" w:afterAutospacing="0"/>
              <w:ind w:right="0" w:firstLineChars="0"/>
              <w:rPr>
                <w:rFonts w:hint="default"/>
              </w:rPr>
            </w:pPr>
            <w:r>
              <w:rPr>
                <w:rFonts w:hint="default"/>
              </w:rPr>
              <w:t>Timeline for BS-to-BS isolation data collection: conclusion on the BS-to-BS isolation analysis to be reached no later than August 2025 meeting (RAN4#116).</w:t>
            </w:r>
          </w:p>
          <w:p w14:paraId="2D65D44B">
            <w:pPr>
              <w:pStyle w:val="36"/>
              <w:keepNext w:val="0"/>
              <w:keepLines w:val="0"/>
              <w:numPr>
                <w:ilvl w:val="0"/>
                <w:numId w:val="5"/>
              </w:numPr>
              <w:suppressLineNumbers w:val="0"/>
              <w:spacing w:before="0" w:beforeAutospacing="0" w:afterAutospacing="0"/>
              <w:ind w:right="0" w:firstLineChars="0"/>
              <w:rPr>
                <w:rFonts w:hint="default"/>
              </w:rPr>
            </w:pPr>
            <w:r>
              <w:rPr>
                <w:rFonts w:hint="default"/>
              </w:rPr>
              <w:t>Data collection for other carrier frequencies is not precluded.</w:t>
            </w:r>
          </w:p>
          <w:p w14:paraId="349C3292">
            <w:pPr>
              <w:pStyle w:val="36"/>
              <w:keepNext w:val="0"/>
              <w:keepLines w:val="0"/>
              <w:numPr>
                <w:ilvl w:val="0"/>
                <w:numId w:val="5"/>
              </w:numPr>
              <w:suppressLineNumbers w:val="0"/>
              <w:spacing w:before="0" w:beforeAutospacing="0" w:afterAutospacing="0"/>
              <w:ind w:right="0" w:firstLineChars="0"/>
              <w:rPr>
                <w:rFonts w:hint="default"/>
              </w:rPr>
            </w:pPr>
            <w:r>
              <w:rPr>
                <w:rFonts w:hint="default"/>
              </w:rPr>
              <w:t>Any future conclusion on isolation numbers is subject to availability of sufficient amount of data from multiple companies and can be decided case-by-case.</w:t>
            </w:r>
          </w:p>
          <w:p w14:paraId="2D120394">
            <w:pPr>
              <w:pStyle w:val="3"/>
              <w:suppressLineNumbers w:val="0"/>
              <w:spacing w:beforeAutospacing="0" w:afterAutospacing="0"/>
              <w:ind w:left="0" w:right="0" w:firstLine="0"/>
              <w:rPr>
                <w:rFonts w:hint="default"/>
              </w:rPr>
            </w:pPr>
            <w:r>
              <w:rPr>
                <w:rFonts w:hint="default"/>
              </w:rPr>
              <w:t>Sub-topic 1-2: Specifications set baseline</w:t>
            </w:r>
          </w:p>
          <w:p w14:paraId="20E71953">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w:t>
            </w:r>
            <w:r>
              <w:rPr>
                <w:rFonts w:hint="default"/>
              </w:rPr>
              <w:t xml:space="preserve"> Baseline set of s</w:t>
            </w:r>
            <w:r>
              <w:rPr>
                <w:rFonts w:hint="default"/>
                <w:lang w:eastAsia="zh-CN"/>
              </w:rPr>
              <w:t>pecifications for implementation of the BS-BS isolation conclusions:</w:t>
            </w:r>
          </w:p>
          <w:p w14:paraId="48FD24F1">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TS 37.105</w:t>
            </w:r>
          </w:p>
          <w:p w14:paraId="5584A2A7">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TS 37.145-1/-2</w:t>
            </w:r>
          </w:p>
          <w:p w14:paraId="033536F2">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38.104</w:t>
            </w:r>
          </w:p>
          <w:p w14:paraId="2B89A307">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38.141-1/</w:t>
            </w:r>
            <w:r>
              <w:rPr>
                <w:rFonts w:hint="default"/>
                <w:lang w:val="en-US" w:eastAsia="zh-CN"/>
              </w:rPr>
              <w:t>-</w:t>
            </w:r>
            <w:r>
              <w:rPr>
                <w:rFonts w:hint="eastAsia"/>
                <w:lang w:val="en-US" w:eastAsia="zh-CN"/>
              </w:rPr>
              <w:t>2</w:t>
            </w:r>
          </w:p>
          <w:p w14:paraId="5A401777">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38.174</w:t>
            </w:r>
          </w:p>
          <w:p w14:paraId="67D10B7E">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38.176-1/</w:t>
            </w:r>
            <w:r>
              <w:rPr>
                <w:rFonts w:hint="default"/>
                <w:lang w:val="en-US" w:eastAsia="zh-CN"/>
              </w:rPr>
              <w:t>-</w:t>
            </w:r>
            <w:r>
              <w:rPr>
                <w:rFonts w:hint="eastAsia"/>
                <w:lang w:val="en-US" w:eastAsia="zh-CN"/>
              </w:rPr>
              <w:t>2</w:t>
            </w:r>
          </w:p>
          <w:p w14:paraId="59B2C3C1">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38.106</w:t>
            </w:r>
          </w:p>
          <w:p w14:paraId="3A0C9AEE">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eastAsia"/>
                <w:lang w:val="en-US" w:eastAsia="zh-CN"/>
              </w:rPr>
              <w:t>TS 38.115-1/</w:t>
            </w:r>
            <w:r>
              <w:rPr>
                <w:rFonts w:hint="default"/>
                <w:lang w:val="en-US" w:eastAsia="zh-CN"/>
              </w:rPr>
              <w:t>-</w:t>
            </w:r>
            <w:r>
              <w:rPr>
                <w:rFonts w:hint="eastAsia"/>
                <w:lang w:val="en-US" w:eastAsia="zh-CN"/>
              </w:rPr>
              <w:t xml:space="preserve">2 </w:t>
            </w:r>
          </w:p>
          <w:p w14:paraId="273F46AF">
            <w:pPr>
              <w:keepNext w:val="0"/>
              <w:keepLines w:val="0"/>
              <w:suppressLineNumbers w:val="0"/>
              <w:spacing w:before="0" w:beforeAutospacing="0" w:afterAutospacing="0"/>
              <w:ind w:left="0" w:right="0"/>
              <w:rPr>
                <w:rFonts w:hint="default"/>
              </w:rPr>
            </w:pPr>
          </w:p>
          <w:p w14:paraId="01D5E569">
            <w:pPr>
              <w:pStyle w:val="3"/>
              <w:suppressLineNumbers w:val="0"/>
              <w:spacing w:beforeAutospacing="0" w:afterAutospacing="0"/>
              <w:ind w:right="0"/>
              <w:rPr>
                <w:rFonts w:hint="default"/>
              </w:rPr>
            </w:pPr>
            <w:r>
              <w:rPr>
                <w:rFonts w:hint="default"/>
              </w:rPr>
              <w:t>Sub-topic 1-3: Requirements set baseline</w:t>
            </w:r>
          </w:p>
          <w:p w14:paraId="6119BCAA">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w:t>
            </w:r>
            <w:r>
              <w:rPr>
                <w:rFonts w:hint="default"/>
              </w:rPr>
              <w:t xml:space="preserve"> Baseline set of requirements </w:t>
            </w:r>
            <w:r>
              <w:rPr>
                <w:rFonts w:hint="default"/>
                <w:lang w:eastAsia="zh-CN"/>
              </w:rPr>
              <w:t>for implementation of the BS-BS isolation conclusions:</w:t>
            </w:r>
          </w:p>
          <w:p w14:paraId="5612F60E">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Transmitter OFF power requirement</w:t>
            </w:r>
          </w:p>
          <w:p w14:paraId="30766D40">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Co-location spurious emission requirement/Protection of the BS receiver of own or different BS</w:t>
            </w:r>
          </w:p>
          <w:p w14:paraId="4A49F4E2">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Tx IMD requirement</w:t>
            </w:r>
          </w:p>
          <w:p w14:paraId="17026B13">
            <w:pPr>
              <w:pStyle w:val="48"/>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rPr>
                <w:rFonts w:hint="default"/>
              </w:rPr>
            </w:pPr>
            <w:r>
              <w:rPr>
                <w:rFonts w:hint="default"/>
              </w:rPr>
              <w:t>Co-located OOBB requirement</w:t>
            </w:r>
          </w:p>
          <w:p w14:paraId="00A4F667">
            <w:pPr>
              <w:keepNext w:val="0"/>
              <w:keepLines w:val="0"/>
              <w:suppressLineNumbers w:val="0"/>
              <w:spacing w:before="0" w:beforeAutospacing="0" w:afterAutospacing="0"/>
              <w:ind w:left="0" w:right="0"/>
              <w:rPr>
                <w:rFonts w:hint="default"/>
              </w:rPr>
            </w:pPr>
          </w:p>
          <w:p w14:paraId="43EE3F24">
            <w:pPr>
              <w:pStyle w:val="3"/>
              <w:suppressLineNumbers w:val="0"/>
              <w:spacing w:beforeAutospacing="0" w:afterAutospacing="0"/>
              <w:ind w:right="0"/>
              <w:rPr>
                <w:rFonts w:hint="default"/>
                <w:lang w:eastAsia="zh-CN"/>
              </w:rPr>
            </w:pPr>
            <w:r>
              <w:rPr>
                <w:rFonts w:hint="default"/>
              </w:rPr>
              <w:t>Sub-topic 1-4: TX IMD co-location</w:t>
            </w:r>
          </w:p>
          <w:p w14:paraId="008841CA">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w:t>
            </w:r>
          </w:p>
          <w:p w14:paraId="3EC07108">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rPr>
              <w:t>Companies are encouraged to provide inputs on the handling of the intra-system TX IMD requirements.</w:t>
            </w:r>
          </w:p>
          <w:p w14:paraId="081C08AF">
            <w:pPr>
              <w:keepNext w:val="0"/>
              <w:keepLines w:val="0"/>
              <w:suppressLineNumbers w:val="0"/>
              <w:overflowPunct/>
              <w:autoSpaceDE/>
              <w:autoSpaceDN/>
              <w:adjustRightInd/>
              <w:spacing w:before="0" w:beforeAutospacing="0" w:after="120" w:afterAutospacing="0"/>
              <w:ind w:left="0" w:right="0"/>
              <w:textAlignment w:val="auto"/>
              <w:rPr>
                <w:rFonts w:hint="default"/>
              </w:rPr>
            </w:pPr>
          </w:p>
          <w:p w14:paraId="1091547C">
            <w:pPr>
              <w:pStyle w:val="3"/>
              <w:suppressLineNumbers w:val="0"/>
              <w:spacing w:beforeAutospacing="0" w:afterAutospacing="0"/>
              <w:ind w:right="0"/>
              <w:rPr>
                <w:rFonts w:hint="default"/>
              </w:rPr>
            </w:pPr>
            <w:r>
              <w:rPr>
                <w:rFonts w:hint="default"/>
              </w:rPr>
              <w:t>Sub-topic 1-5: Capturing CLTA-related agreements</w:t>
            </w:r>
          </w:p>
          <w:p w14:paraId="78D6A634">
            <w:pPr>
              <w:keepNext w:val="0"/>
              <w:keepLines w:val="0"/>
              <w:suppressLineNumbers w:val="0"/>
              <w:overflowPunct/>
              <w:autoSpaceDE/>
              <w:autoSpaceDN/>
              <w:adjustRightInd/>
              <w:spacing w:before="0" w:beforeAutospacing="0" w:after="120" w:afterAutospacing="0"/>
              <w:ind w:left="0" w:right="0"/>
              <w:textAlignment w:val="auto"/>
              <w:rPr>
                <w:rFonts w:hint="default"/>
                <w:lang w:eastAsia="zh-CN"/>
              </w:rPr>
            </w:pPr>
            <w:r>
              <w:rPr>
                <w:rFonts w:hint="default"/>
                <w:b/>
                <w:lang w:eastAsia="zh-CN"/>
              </w:rPr>
              <w:t>Way forward</w:t>
            </w:r>
            <w:r>
              <w:rPr>
                <w:rFonts w:hint="default"/>
                <w:lang w:eastAsia="zh-CN"/>
              </w:rPr>
              <w:t>:</w:t>
            </w:r>
          </w:p>
          <w:p w14:paraId="5AFBFFCD">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rPr>
              <w:t>As there is a dedicated CLTA section in TR 37.941 on RF conformance testing background for OTA BS requirements, consider TR 37.941 as the placeholder for the CLTA-related agreements collection. Rel-19 findings to be ca in a brand new sub-clause.</w:t>
            </w:r>
          </w:p>
          <w:p w14:paraId="354AE2C5">
            <w:pPr>
              <w:keepNext w:val="0"/>
              <w:keepLines w:val="0"/>
              <w:suppressLineNumbers w:val="0"/>
              <w:overflowPunct/>
              <w:autoSpaceDE/>
              <w:autoSpaceDN/>
              <w:adjustRightInd/>
              <w:spacing w:before="0" w:beforeAutospacing="0" w:after="120" w:afterAutospacing="0"/>
              <w:ind w:left="0" w:right="0"/>
              <w:textAlignment w:val="auto"/>
              <w:rPr>
                <w:rFonts w:hint="default"/>
              </w:rPr>
            </w:pPr>
          </w:p>
          <w:p w14:paraId="1EA44B81">
            <w:pPr>
              <w:pStyle w:val="3"/>
              <w:suppressLineNumbers w:val="0"/>
              <w:spacing w:beforeAutospacing="0" w:afterAutospacing="0"/>
              <w:ind w:right="0"/>
              <w:rPr>
                <w:rFonts w:hint="default"/>
              </w:rPr>
            </w:pPr>
            <w:r>
              <w:rPr>
                <w:rFonts w:hint="default"/>
              </w:rPr>
              <w:t>Sub-topic 1-6: Horn antenna aspects</w:t>
            </w:r>
          </w:p>
          <w:p w14:paraId="00AF6FFD">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b/>
                <w:lang w:eastAsia="zh-CN"/>
              </w:rPr>
              <w:t>Way forward</w:t>
            </w:r>
            <w:r>
              <w:rPr>
                <w:rFonts w:hint="default"/>
                <w:lang w:eastAsia="zh-CN"/>
              </w:rPr>
              <w:t xml:space="preserve">: </w:t>
            </w:r>
            <w:r>
              <w:rPr>
                <w:rFonts w:hint="default"/>
              </w:rPr>
              <w:t>Companies to investigate applicable frequency range for horn antenna studies (i.e., where the reference CLTA may not be available).</w:t>
            </w:r>
          </w:p>
          <w:p w14:paraId="4C98D806">
            <w:pPr>
              <w:keepNext w:val="0"/>
              <w:keepLines w:val="0"/>
              <w:suppressLineNumbers w:val="0"/>
              <w:overflowPunct/>
              <w:autoSpaceDE/>
              <w:autoSpaceDN/>
              <w:adjustRightInd/>
              <w:spacing w:before="0" w:beforeAutospacing="0" w:after="120" w:afterAutospacing="0"/>
              <w:ind w:left="0" w:right="0"/>
              <w:textAlignment w:val="auto"/>
              <w:rPr>
                <w:rFonts w:hint="default"/>
              </w:rPr>
            </w:pPr>
          </w:p>
          <w:p w14:paraId="3E9D7802">
            <w:pPr>
              <w:pStyle w:val="3"/>
              <w:suppressLineNumbers w:val="0"/>
              <w:spacing w:beforeAutospacing="0" w:afterAutospacing="0"/>
              <w:ind w:right="0"/>
              <w:rPr>
                <w:rFonts w:hint="default"/>
              </w:rPr>
            </w:pPr>
            <w:r>
              <w:rPr>
                <w:rFonts w:hint="default"/>
              </w:rPr>
              <w:t>Sub-topic 1-7: Assumptions for the beam steering scenario analyses</w:t>
            </w:r>
          </w:p>
          <w:p w14:paraId="2C08F264">
            <w:pPr>
              <w:keepNext w:val="0"/>
              <w:keepLines w:val="0"/>
              <w:suppressLineNumbers w:val="0"/>
              <w:overflowPunct/>
              <w:autoSpaceDE/>
              <w:autoSpaceDN/>
              <w:adjustRightInd/>
              <w:spacing w:before="0" w:beforeAutospacing="0" w:after="120" w:afterAutospacing="0"/>
              <w:ind w:left="0" w:right="0"/>
              <w:textAlignment w:val="auto"/>
              <w:rPr>
                <w:rFonts w:hint="default"/>
              </w:rPr>
            </w:pPr>
            <w:r>
              <w:rPr>
                <w:rFonts w:hint="default"/>
                <w:b/>
                <w:lang w:eastAsia="zh-CN"/>
              </w:rPr>
              <w:t>Way forward</w:t>
            </w:r>
            <w:r>
              <w:rPr>
                <w:rFonts w:hint="default"/>
                <w:lang w:eastAsia="zh-CN"/>
              </w:rPr>
              <w:t>:</w:t>
            </w:r>
            <w:r>
              <w:rPr>
                <w:rFonts w:hint="default"/>
              </w:rPr>
              <w:t xml:space="preserve"> To improve simulation results alignment, the following assumptions are taken for the beam steering consideration: </w:t>
            </w:r>
          </w:p>
          <w:p w14:paraId="1B2E67E1">
            <w:pPr>
              <w:keepNext w:val="0"/>
              <w:keepLines w:val="0"/>
              <w:suppressLineNumbers w:val="0"/>
              <w:spacing w:before="0" w:beforeAutospacing="0" w:after="120" w:afterAutospacing="0"/>
              <w:ind w:left="0" w:right="0"/>
              <w:rPr>
                <w:rFonts w:hint="default"/>
                <w:color w:val="000000" w:themeColor="text1"/>
                <w:szCs w:val="24"/>
                <w:lang w:eastAsia="zh-CN"/>
                <w14:textFill>
                  <w14:solidFill>
                    <w14:schemeClr w14:val="tx1"/>
                  </w14:solidFill>
                </w14:textFill>
              </w:rPr>
            </w:pPr>
            <w:r>
              <w:rPr>
                <w:rFonts w:hint="default"/>
              </w:rPr>
              <w:t>D</w:t>
            </w:r>
            <w:r>
              <w:rPr>
                <w:rFonts w:hint="default"/>
                <w:color w:val="000000" w:themeColor="text1"/>
                <w:szCs w:val="24"/>
                <w:lang w:eastAsia="zh-CN"/>
                <w14:textFill>
                  <w14:solidFill>
                    <w14:schemeClr w14:val="tx1"/>
                  </w14:solidFill>
                </w14:textFill>
              </w:rPr>
              <w:t xml:space="preserve">ata collection to prioritize the following scenarios: </w:t>
            </w:r>
          </w:p>
          <w:p w14:paraId="6F8BEA63">
            <w:pPr>
              <w:pStyle w:val="36"/>
              <w:keepNext w:val="0"/>
              <w:keepLines w:val="0"/>
              <w:numPr>
                <w:ilvl w:val="0"/>
                <w:numId w:val="4"/>
              </w:numPr>
              <w:suppressLineNumbers w:val="0"/>
              <w:spacing w:before="0" w:beforeAutospacing="0" w:after="120" w:afterAutospacing="0"/>
              <w:ind w:right="0" w:firstLineChars="0"/>
              <w:rPr>
                <w:rFonts w:hint="default"/>
              </w:rPr>
            </w:pPr>
            <w:r>
              <w:rPr>
                <w:rFonts w:hint="default"/>
              </w:rPr>
              <w:t>Beam steering range +/- [60] degrees</w:t>
            </w:r>
          </w:p>
          <w:p w14:paraId="631DB5D8">
            <w:pPr>
              <w:pStyle w:val="36"/>
              <w:keepNext w:val="0"/>
              <w:keepLines w:val="0"/>
              <w:numPr>
                <w:ilvl w:val="0"/>
                <w:numId w:val="4"/>
              </w:numPr>
              <w:suppressLineNumbers w:val="0"/>
              <w:spacing w:before="0" w:beforeAutospacing="0" w:after="120" w:afterAutospacing="0"/>
              <w:ind w:right="0" w:firstLineChars="0"/>
              <w:rPr>
                <w:rFonts w:hint="default"/>
                <w:vertAlign w:val="baseline"/>
                <w:lang w:val="en-US" w:eastAsia="zh-CN"/>
              </w:rPr>
            </w:pPr>
            <w:r>
              <w:rPr>
                <w:rFonts w:hint="default"/>
              </w:rPr>
              <w:t>Reuse CLTA arrangements, e.g., same plane orientation; 10 cm offset enclosure to enclosure, etc.</w:t>
            </w:r>
          </w:p>
        </w:tc>
      </w:tr>
    </w:tbl>
    <w:p w14:paraId="557CE391">
      <w:pPr>
        <w:pStyle w:val="57"/>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14:paraId="0BA25877">
      <w:pPr>
        <w:keepNext w:val="0"/>
        <w:keepLines w:val="0"/>
        <w:widowControl/>
        <w:suppressLineNumbers w:val="0"/>
        <w:jc w:val="left"/>
        <w:rPr>
          <w:rFonts w:hint="eastAsia"/>
          <w:lang w:val="en-US" w:eastAsia="zh-CN"/>
        </w:rPr>
      </w:pPr>
      <w:r>
        <w:rPr>
          <w:rFonts w:hint="eastAsia"/>
          <w:lang w:val="en-US" w:eastAsia="zh-CN"/>
        </w:rPr>
        <w:t xml:space="preserve">As we discussed in the last RAN4 meeting, the following issues could be further discussed to identify the necessity for co-location reference antenna improvement. </w:t>
      </w:r>
    </w:p>
    <w:p w14:paraId="18587F2A">
      <w:pPr>
        <w:pStyle w:val="3"/>
        <w:numPr>
          <w:ilvl w:val="1"/>
          <w:numId w:val="1"/>
        </w:numPr>
        <w:ind w:left="720" w:leftChars="0" w:hanging="720" w:firstLineChars="0"/>
        <w:rPr>
          <w:b w:val="0"/>
          <w:bCs w:val="0"/>
          <w:sz w:val="28"/>
          <w:szCs w:val="28"/>
        </w:rPr>
      </w:pPr>
      <w:bookmarkStart w:id="5" w:name="OLE_LINK77"/>
      <w:bookmarkStart w:id="6" w:name="OLE_LINK78"/>
      <w:bookmarkStart w:id="7" w:name="_Hlk161047436"/>
      <w:r>
        <w:rPr>
          <w:rFonts w:hint="eastAsia"/>
          <w:b w:val="0"/>
          <w:bCs w:val="0"/>
          <w:sz w:val="28"/>
          <w:szCs w:val="28"/>
          <w:lang w:val="en-US" w:eastAsia="zh-CN"/>
        </w:rPr>
        <w:t>.Coupling loss between two AAS BS in FR1 high bands</w:t>
      </w:r>
      <w:r>
        <w:rPr>
          <w:b w:val="0"/>
          <w:bCs w:val="0"/>
          <w:sz w:val="28"/>
          <w:szCs w:val="28"/>
        </w:rPr>
        <w:t xml:space="preserve"> </w:t>
      </w:r>
      <w:bookmarkEnd w:id="5"/>
      <w:bookmarkEnd w:id="6"/>
      <w:bookmarkEnd w:id="7"/>
    </w:p>
    <w:p w14:paraId="2CA32E6A">
      <w:pPr>
        <w:tabs>
          <w:tab w:val="left" w:pos="2127"/>
        </w:tabs>
        <w:spacing w:after="0"/>
        <w:rPr>
          <w:rFonts w:hint="eastAsia"/>
          <w:lang w:val="en-US" w:eastAsia="zh-CN"/>
        </w:rPr>
      </w:pPr>
      <w:r>
        <w:rPr>
          <w:rFonts w:hint="eastAsia"/>
          <w:lang w:val="en-US" w:eastAsia="zh-CN"/>
        </w:rPr>
        <w:t>First of all, NR BS coexisting with non-AAS BS in FR1 high bands are not very common. Instead, two AAS BS coexisting with each other are more ubiquitous which are one candidate issue captured in the agreed WF [1]. Based on the above consideration from the practical deployment perspective, we conducted some coupling loss measurement shown as following:</w:t>
      </w:r>
    </w:p>
    <w:p w14:paraId="59FEC07E">
      <w:pPr>
        <w:numPr>
          <w:ilvl w:val="0"/>
          <w:numId w:val="8"/>
        </w:numPr>
        <w:tabs>
          <w:tab w:val="left" w:pos="2127"/>
        </w:tabs>
        <w:spacing w:after="0"/>
        <w:rPr>
          <w:rFonts w:hint="default"/>
          <w:lang w:val="en-US" w:eastAsia="zh-CN"/>
        </w:rPr>
      </w:pPr>
      <w:r>
        <w:rPr>
          <w:rFonts w:hint="eastAsia"/>
          <w:lang w:val="en-US" w:eastAsia="zh-CN"/>
        </w:rPr>
        <w:t xml:space="preserve"> (left figure) Two AAS BS are separated in the vertical domain (10cm separation as worst assumption).</w:t>
      </w:r>
    </w:p>
    <w:p w14:paraId="172CC7EB">
      <w:pPr>
        <w:numPr>
          <w:ilvl w:val="0"/>
          <w:numId w:val="8"/>
        </w:numPr>
        <w:tabs>
          <w:tab w:val="left" w:pos="2127"/>
        </w:tabs>
        <w:spacing w:after="0"/>
        <w:rPr>
          <w:rFonts w:hint="default"/>
          <w:lang w:val="en-US" w:eastAsia="zh-CN"/>
        </w:rPr>
      </w:pPr>
      <w:r>
        <w:rPr>
          <w:rFonts w:hint="eastAsia"/>
          <w:lang w:val="en-US" w:eastAsia="zh-CN"/>
        </w:rPr>
        <w:t xml:space="preserve"> (Right figure) Two AAS BS are separated in the horizontal domain (10cm separation as worst assumption).</w:t>
      </w:r>
    </w:p>
    <w:p w14:paraId="4E1C1B01">
      <w:pPr>
        <w:tabs>
          <w:tab w:val="left" w:pos="2127"/>
        </w:tabs>
        <w:spacing w:after="0"/>
        <w:jc w:val="center"/>
      </w:pPr>
      <w:r>
        <w:drawing>
          <wp:inline distT="0" distB="0" distL="114300" distR="114300">
            <wp:extent cx="2898775" cy="1993265"/>
            <wp:effectExtent l="0" t="0" r="15875"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2898775" cy="1993265"/>
                    </a:xfrm>
                    <a:prstGeom prst="rect">
                      <a:avLst/>
                    </a:prstGeom>
                    <a:noFill/>
                    <a:ln>
                      <a:noFill/>
                    </a:ln>
                  </pic:spPr>
                </pic:pic>
              </a:graphicData>
            </a:graphic>
          </wp:inline>
        </w:drawing>
      </w:r>
      <w:r>
        <w:drawing>
          <wp:inline distT="0" distB="0" distL="114300" distR="114300">
            <wp:extent cx="2863850" cy="1982470"/>
            <wp:effectExtent l="0" t="0" r="12700" b="177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2863850" cy="1982470"/>
                    </a:xfrm>
                    <a:prstGeom prst="rect">
                      <a:avLst/>
                    </a:prstGeom>
                    <a:noFill/>
                    <a:ln>
                      <a:noFill/>
                    </a:ln>
                  </pic:spPr>
                </pic:pic>
              </a:graphicData>
            </a:graphic>
          </wp:inline>
        </w:drawing>
      </w:r>
    </w:p>
    <w:p w14:paraId="7745C6AB">
      <w:pPr>
        <w:tabs>
          <w:tab w:val="left" w:pos="2127"/>
        </w:tabs>
        <w:spacing w:after="0"/>
        <w:jc w:val="center"/>
        <w:rPr>
          <w:rFonts w:hint="eastAsia"/>
          <w:lang w:val="en-US" w:eastAsia="zh-CN"/>
        </w:rPr>
      </w:pPr>
      <w:r>
        <w:rPr>
          <w:rFonts w:hint="eastAsia"/>
          <w:lang w:val="en-US" w:eastAsia="zh-CN"/>
        </w:rPr>
        <w:t>Figure 2.1-1. coupling loss measurement for FR1 high bands with separation distance as 10cm from edge to edge</w:t>
      </w:r>
    </w:p>
    <w:p w14:paraId="7938E8E9">
      <w:pPr>
        <w:tabs>
          <w:tab w:val="left" w:pos="2127"/>
        </w:tabs>
        <w:spacing w:after="0"/>
        <w:jc w:val="left"/>
        <w:rPr>
          <w:rFonts w:hint="default"/>
          <w:highlight w:val="none"/>
          <w:lang w:val="en-US" w:eastAsia="zh-CN"/>
        </w:rPr>
      </w:pPr>
      <w:r>
        <w:rPr>
          <w:rFonts w:hint="eastAsia"/>
          <w:highlight w:val="none"/>
          <w:lang w:val="en-US" w:eastAsia="zh-CN"/>
        </w:rPr>
        <w:t xml:space="preserve">NOTE: coupling loss measurement with CW source signal is done in the OTA chamber without considering the different beam steering steering. Beam of two AAS BSs are steering towards the boresight direction. </w:t>
      </w:r>
    </w:p>
    <w:p w14:paraId="3D963611">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829050" cy="4248150"/>
            <wp:effectExtent l="0" t="0" r="0"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9"/>
                    <a:stretch>
                      <a:fillRect/>
                    </a:stretch>
                  </pic:blipFill>
                  <pic:spPr>
                    <a:xfrm>
                      <a:off x="0" y="0"/>
                      <a:ext cx="3829050" cy="4248150"/>
                    </a:xfrm>
                    <a:prstGeom prst="rect">
                      <a:avLst/>
                    </a:prstGeom>
                    <a:noFill/>
                    <a:ln w="9525">
                      <a:noFill/>
                    </a:ln>
                  </pic:spPr>
                </pic:pic>
              </a:graphicData>
            </a:graphic>
          </wp:inline>
        </w:drawing>
      </w:r>
    </w:p>
    <w:p w14:paraId="59202BC6">
      <w:pPr>
        <w:tabs>
          <w:tab w:val="left" w:pos="2127"/>
        </w:tabs>
        <w:spacing w:after="0"/>
        <w:jc w:val="center"/>
        <w:rPr>
          <w:rFonts w:hint="default"/>
          <w:lang w:val="en-US"/>
        </w:rPr>
      </w:pPr>
      <w:r>
        <w:rPr>
          <w:rFonts w:hint="eastAsia"/>
          <w:lang w:val="en-US" w:eastAsia="zh-CN"/>
        </w:rPr>
        <w:t>Figure 2.1-2a. antenna ports for coupling loss measurement with vertical separation [expected worst coupling loss]</w:t>
      </w:r>
    </w:p>
    <w:p w14:paraId="6DB604B4">
      <w:pPr>
        <w:tabs>
          <w:tab w:val="left" w:pos="2127"/>
        </w:tabs>
        <w:spacing w:after="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91000" cy="3162300"/>
            <wp:effectExtent l="0" t="0" r="0" b="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10"/>
                    <a:stretch>
                      <a:fillRect/>
                    </a:stretch>
                  </pic:blipFill>
                  <pic:spPr>
                    <a:xfrm>
                      <a:off x="0" y="0"/>
                      <a:ext cx="4191000" cy="3162300"/>
                    </a:xfrm>
                    <a:prstGeom prst="rect">
                      <a:avLst/>
                    </a:prstGeom>
                    <a:noFill/>
                    <a:ln w="9525">
                      <a:noFill/>
                    </a:ln>
                  </pic:spPr>
                </pic:pic>
              </a:graphicData>
            </a:graphic>
          </wp:inline>
        </w:drawing>
      </w:r>
    </w:p>
    <w:p w14:paraId="7006196E">
      <w:pPr>
        <w:tabs>
          <w:tab w:val="left" w:pos="2127"/>
        </w:tabs>
        <w:spacing w:after="0"/>
        <w:jc w:val="center"/>
        <w:rPr>
          <w:rFonts w:hint="eastAsia"/>
          <w:lang w:val="en-US" w:eastAsia="zh-CN"/>
        </w:rPr>
      </w:pPr>
      <w:r>
        <w:rPr>
          <w:rFonts w:hint="eastAsia"/>
          <w:lang w:val="en-US" w:eastAsia="zh-CN"/>
        </w:rPr>
        <w:t>Figure 2.1-2b. antenna ports for coupling loss measurement with horizontal separation [expected worst coupling loss]</w:t>
      </w:r>
    </w:p>
    <w:p w14:paraId="76AF2E7D">
      <w:pPr>
        <w:tabs>
          <w:tab w:val="left" w:pos="2127"/>
        </w:tabs>
        <w:spacing w:after="0"/>
        <w:jc w:val="left"/>
        <w:rPr>
          <w:rFonts w:hint="eastAsia"/>
          <w:lang w:val="en-US" w:eastAsia="zh-CN"/>
        </w:rPr>
      </w:pPr>
      <w:r>
        <w:rPr>
          <w:rFonts w:hint="eastAsia"/>
          <w:lang w:val="en-US" w:eastAsia="zh-CN"/>
        </w:rPr>
        <w:t>According to the above testing conditions/assumptions, some initial measurement results for FR1 high bands are provided in the following Table 2.1-1. As shown in the following table, if two NR AAS BS are placed with vertical separation which is quite typical for the mast installation, then the coupling loss between sub-array would be larger than 50dB under the vertical isolation (closet antenna elements as shown in Figure 2.1-2a). However if two NR BS are placed with horizontal separation which is typical for roof based installation, the coupling loss between sub-array is still larger than 30dBc (closet antenna elements as shown in Figure 2.1-2b). It also depends on the BS</w:t>
      </w:r>
      <w:r>
        <w:rPr>
          <w:rFonts w:hint="default"/>
          <w:lang w:val="en-US" w:eastAsia="zh-CN"/>
        </w:rPr>
        <w:t>’</w:t>
      </w:r>
      <w:r>
        <w:rPr>
          <w:rFonts w:hint="eastAsia"/>
          <w:lang w:val="en-US" w:eastAsia="zh-CN"/>
        </w:rPr>
        <w:t>s implementation, for different BS RF architecture, coupling loss among different antenna ports are varying from 31dB to 46dBc.</w:t>
      </w:r>
    </w:p>
    <w:p w14:paraId="1AC2575B">
      <w:pPr>
        <w:tabs>
          <w:tab w:val="left" w:pos="2127"/>
        </w:tabs>
        <w:spacing w:after="0"/>
        <w:jc w:val="center"/>
      </w:pPr>
      <w:r>
        <w:rPr>
          <w:rFonts w:hint="eastAsia"/>
          <w:lang w:val="en-US" w:eastAsia="zh-CN"/>
        </w:rPr>
        <w:t>Table 2.1-1. summary of measured coupling loss different frequency ranges for FR1 WA BS</w:t>
      </w:r>
    </w:p>
    <w:tbl>
      <w:tblPr>
        <w:tblStyle w:val="25"/>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019"/>
        <w:gridCol w:w="1054"/>
        <w:gridCol w:w="1054"/>
        <w:gridCol w:w="1054"/>
        <w:gridCol w:w="1054"/>
        <w:gridCol w:w="1054"/>
      </w:tblGrid>
      <w:tr w14:paraId="251E1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194DBF33">
            <w:pPr>
              <w:pStyle w:val="21"/>
              <w:keepNext w:val="0"/>
              <w:keepLines w:val="0"/>
              <w:widowControl/>
              <w:suppressLineNumbers w:val="0"/>
              <w:ind w:left="0" w:right="0"/>
              <w:jc w:val="center"/>
              <w:rPr>
                <w:rFonts w:hint="default" w:eastAsia="宋体"/>
                <w:lang w:val="en-US" w:eastAsia="zh-CN"/>
              </w:rPr>
            </w:pPr>
            <w:r>
              <w:rPr>
                <w:rFonts w:hint="eastAsia" w:ascii="Times New Roman" w:hAnsi="Times New Roman" w:cs="Times New Roman"/>
                <w:b/>
                <w:bCs/>
                <w:color w:val="FFFFFF"/>
                <w:sz w:val="18"/>
                <w:szCs w:val="18"/>
                <w:lang w:val="en-US" w:eastAsia="zh-CN"/>
              </w:rPr>
              <w:t>Antenna type</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276520BC">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7F5C06E">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2.6G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E369A2A">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BS1</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6971A667">
            <w:pPr>
              <w:pStyle w:val="21"/>
              <w:keepNext w:val="0"/>
              <w:keepLines w:val="0"/>
              <w:widowControl/>
              <w:suppressLineNumbers w:val="0"/>
              <w:ind w:left="0" w:right="0"/>
              <w:jc w:val="center"/>
              <w:rPr>
                <w:rFonts w:hint="default" w:ascii="Times New Roman" w:hAnsi="Times New Roman" w:cs="Times New Roman"/>
                <w:sz w:val="18"/>
                <w:szCs w:val="18"/>
              </w:rPr>
            </w:pPr>
            <w:r>
              <w:rPr>
                <w:rFonts w:hint="default" w:ascii="Times New Roman" w:hAnsi="Times New Roman" w:cs="Times New Roman"/>
                <w:b/>
                <w:bCs/>
                <w:color w:val="FFFFFF"/>
                <w:sz w:val="18"/>
                <w:szCs w:val="18"/>
              </w:rPr>
              <w:t>3.5G-</w:t>
            </w:r>
            <w:r>
              <w:rPr>
                <w:rFonts w:hint="eastAsia" w:ascii="Times New Roman" w:hAnsi="Times New Roman" w:cs="Times New Roman"/>
                <w:b/>
                <w:bCs/>
                <w:color w:val="FFFFFF"/>
                <w:sz w:val="18"/>
                <w:szCs w:val="18"/>
                <w:lang w:val="en-US" w:eastAsia="zh-CN"/>
              </w:rPr>
              <w:t>BS2</w:t>
            </w:r>
          </w:p>
        </w:tc>
        <w:tc>
          <w:tcPr>
            <w:tcW w:w="0" w:type="auto"/>
            <w:tcBorders>
              <w:top w:val="single" w:color="FFFFFF" w:sz="6" w:space="0"/>
              <w:left w:val="single" w:color="FFFFFF" w:sz="6" w:space="0"/>
              <w:bottom w:val="single" w:color="FFFFFF" w:sz="18" w:space="0"/>
              <w:right w:val="single" w:color="FFFFFF" w:sz="6" w:space="0"/>
            </w:tcBorders>
            <w:shd w:val="clear" w:color="auto" w:fill="00A651"/>
            <w:tcMar>
              <w:top w:w="72" w:type="dxa"/>
              <w:left w:w="144" w:type="dxa"/>
              <w:bottom w:w="72" w:type="dxa"/>
              <w:right w:w="144" w:type="dxa"/>
            </w:tcMar>
            <w:vAlign w:val="top"/>
          </w:tcPr>
          <w:p w14:paraId="01F8864B">
            <w:pPr>
              <w:pStyle w:val="21"/>
              <w:keepNext w:val="0"/>
              <w:keepLines w:val="0"/>
              <w:widowControl/>
              <w:suppressLineNumbers w:val="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b/>
                <w:bCs/>
                <w:color w:val="FFFFFF"/>
                <w:sz w:val="18"/>
                <w:szCs w:val="18"/>
              </w:rPr>
              <w:t>4.9G-</w:t>
            </w:r>
            <w:r>
              <w:rPr>
                <w:rFonts w:hint="eastAsia" w:ascii="Times New Roman" w:hAnsi="Times New Roman" w:cs="Times New Roman"/>
                <w:b/>
                <w:bCs/>
                <w:color w:val="FFFFFF"/>
                <w:sz w:val="18"/>
                <w:szCs w:val="18"/>
                <w:lang w:val="en-US" w:eastAsia="zh-CN"/>
              </w:rPr>
              <w:t>BS1</w:t>
            </w:r>
          </w:p>
        </w:tc>
      </w:tr>
      <w:tr w14:paraId="7C5A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C2482CD">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vertical domain</w:t>
            </w:r>
            <w:r>
              <w:rPr>
                <w:rFonts w:hint="default" w:ascii="Times New Roman" w:hAnsi="Times New Roman" w:cs="Times New Roman"/>
                <w:color w:val="000000"/>
                <w:sz w:val="21"/>
                <w:szCs w:val="21"/>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54CA9B0">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&lt;-54</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1AA2AEE6">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&lt;-57</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70B4623F">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&lt;-52</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629E8C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&lt;-53</w:t>
            </w:r>
          </w:p>
        </w:tc>
        <w:tc>
          <w:tcPr>
            <w:tcW w:w="0" w:type="auto"/>
            <w:tcBorders>
              <w:top w:val="single" w:color="FFFFFF" w:sz="6" w:space="0"/>
              <w:left w:val="single" w:color="FFFFFF" w:sz="6" w:space="0"/>
              <w:bottom w:val="single" w:color="FFFFFF" w:sz="18" w:space="0"/>
              <w:right w:val="single" w:color="FFFFFF" w:sz="6" w:space="0"/>
            </w:tcBorders>
            <w:shd w:val="clear" w:color="auto" w:fill="CBE1D0"/>
            <w:tcMar>
              <w:top w:w="72" w:type="dxa"/>
              <w:left w:w="144" w:type="dxa"/>
              <w:bottom w:w="72" w:type="dxa"/>
              <w:right w:w="144" w:type="dxa"/>
            </w:tcMar>
            <w:vAlign w:val="top"/>
          </w:tcPr>
          <w:p w14:paraId="3B2ADAE3">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&lt;-56</w:t>
            </w:r>
          </w:p>
        </w:tc>
      </w:tr>
      <w:tr w14:paraId="23EE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D18311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Isolation in horizontal domain</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0236E5A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&lt;-31</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38C28D1C">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&lt;-40</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15801F78">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&lt;-34</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4699D8D1">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&lt;-35</w:t>
            </w:r>
          </w:p>
        </w:tc>
        <w:tc>
          <w:tcPr>
            <w:tcW w:w="0" w:type="auto"/>
            <w:tcBorders>
              <w:top w:val="single" w:color="FFFFFF" w:sz="6" w:space="0"/>
              <w:left w:val="single" w:color="FFFFFF" w:sz="6" w:space="0"/>
              <w:bottom w:val="single" w:color="FFFFFF" w:sz="18" w:space="0"/>
              <w:right w:val="single" w:color="FFFFFF" w:sz="6" w:space="0"/>
            </w:tcBorders>
            <w:shd w:val="clear" w:color="auto" w:fill="E7F1E9"/>
            <w:tcMar>
              <w:top w:w="72" w:type="dxa"/>
              <w:left w:w="144" w:type="dxa"/>
              <w:bottom w:w="72" w:type="dxa"/>
              <w:right w:w="144" w:type="dxa"/>
            </w:tcMar>
            <w:vAlign w:val="top"/>
          </w:tcPr>
          <w:p w14:paraId="2538472E">
            <w:pPr>
              <w:pStyle w:val="21"/>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&lt;-46</w:t>
            </w:r>
          </w:p>
        </w:tc>
      </w:tr>
    </w:tbl>
    <w:p w14:paraId="0722C097">
      <w:pPr>
        <w:tabs>
          <w:tab w:val="left" w:pos="2127"/>
        </w:tabs>
        <w:spacing w:after="0"/>
      </w:pPr>
    </w:p>
    <w:p w14:paraId="24B4A72D">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DA8A3D1">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15D4F06B">
      <w:pPr>
        <w:tabs>
          <w:tab w:val="left" w:pos="2127"/>
        </w:tabs>
        <w:spacing w:after="0"/>
        <w:rPr>
          <w:rFonts w:hint="eastAsia"/>
          <w:highlight w:val="none"/>
          <w:lang w:val="en-US" w:eastAsia="zh-CN"/>
        </w:rPr>
      </w:pPr>
      <w:r>
        <w:rPr>
          <w:rFonts w:hint="eastAsia"/>
          <w:highlight w:val="none"/>
          <w:lang w:val="en-US" w:eastAsia="zh-CN"/>
        </w:rPr>
        <w:t>In the last RAN4 meeting, there were some discussions on the impacts of beam steering on coupling loss, from our understanding, it</w:t>
      </w:r>
      <w:r>
        <w:rPr>
          <w:rFonts w:hint="default"/>
          <w:highlight w:val="none"/>
          <w:lang w:val="en-US" w:eastAsia="zh-CN"/>
        </w:rPr>
        <w:t>’</w:t>
      </w:r>
      <w:r>
        <w:rPr>
          <w:rFonts w:hint="eastAsia"/>
          <w:highlight w:val="none"/>
          <w:lang w:val="en-US" w:eastAsia="zh-CN"/>
        </w:rPr>
        <w:t xml:space="preserve">s true that the beam steering from antenna array of aggressive BS towards sub-array of victim BS and from antenna array of aggressive BS towards antenna array of victim BS would have the impacts. More measurement results or simulation results by EM software platform could be provided later on to figure out the exact coupling loss in different deployment scenario. </w:t>
      </w:r>
    </w:p>
    <w:p w14:paraId="7338F72E">
      <w:pPr>
        <w:pStyle w:val="3"/>
        <w:numPr>
          <w:ilvl w:val="1"/>
          <w:numId w:val="1"/>
        </w:numPr>
        <w:ind w:left="720" w:leftChars="0" w:hanging="720" w:firstLineChars="0"/>
        <w:rPr>
          <w:b w:val="0"/>
          <w:bCs w:val="0"/>
          <w:sz w:val="28"/>
          <w:szCs w:val="28"/>
        </w:rPr>
      </w:pPr>
      <w:r>
        <w:rPr>
          <w:rFonts w:hint="eastAsia"/>
          <w:b w:val="0"/>
          <w:bCs w:val="0"/>
          <w:sz w:val="28"/>
          <w:szCs w:val="28"/>
          <w:lang w:val="en-US" w:eastAsia="zh-CN"/>
        </w:rPr>
        <w:t xml:space="preserve">. The set of impacted specific requirement </w:t>
      </w:r>
    </w:p>
    <w:p w14:paraId="057690C7">
      <w:pPr>
        <w:tabs>
          <w:tab w:val="left" w:pos="2127"/>
        </w:tabs>
        <w:spacing w:after="0"/>
        <w:rPr>
          <w:rFonts w:hint="default"/>
          <w:lang w:val="en-US" w:eastAsia="zh-CN"/>
        </w:rPr>
      </w:pPr>
      <w:r>
        <w:rPr>
          <w:rFonts w:hint="eastAsia"/>
          <w:lang w:val="en-US" w:eastAsia="zh-CN"/>
        </w:rPr>
        <w:t xml:space="preserve">In the previous discussions, there were some discussions on the impacted specific requirement, we would like to review the background for the following requirement firstly. </w:t>
      </w:r>
    </w:p>
    <w:p w14:paraId="0F42CCF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sz w:val="21"/>
          <w:szCs w:val="21"/>
          <w:lang w:val="en-US" w:eastAsia="zh-CN"/>
        </w:rPr>
      </w:pPr>
      <w:r>
        <w:rPr>
          <w:rFonts w:hint="eastAsia"/>
          <w:sz w:val="21"/>
          <w:szCs w:val="21"/>
          <w:lang w:val="en-US" w:eastAsia="zh-CN"/>
        </w:rPr>
        <w:t>2.2.1.Transmitter OFF power requirement</w:t>
      </w:r>
    </w:p>
    <w:p w14:paraId="64D33041">
      <w:pPr>
        <w:snapToGrid w:val="0"/>
        <w:spacing w:after="120"/>
        <w:jc w:val="both"/>
        <w:rPr>
          <w:rFonts w:hint="eastAsia"/>
          <w:sz w:val="21"/>
          <w:szCs w:val="21"/>
          <w:lang w:eastAsia="zh-CN"/>
        </w:rPr>
      </w:pPr>
      <w:r>
        <w:rPr>
          <w:rFonts w:hint="eastAsia"/>
          <w:sz w:val="21"/>
          <w:szCs w:val="21"/>
          <w:lang w:val="en-US" w:eastAsia="zh-CN"/>
        </w:rPr>
        <w:t>For NR BS</w:t>
      </w:r>
      <w:r>
        <w:rPr>
          <w:rFonts w:hint="eastAsia"/>
          <w:sz w:val="21"/>
          <w:szCs w:val="21"/>
          <w:lang w:eastAsia="zh-CN"/>
        </w:rPr>
        <w:t xml:space="preserve"> </w:t>
      </w:r>
      <w:r>
        <w:rPr>
          <w:sz w:val="21"/>
          <w:szCs w:val="21"/>
          <w:lang w:eastAsia="zh-CN"/>
        </w:rPr>
        <w:t>transmit</w:t>
      </w:r>
      <w:r>
        <w:rPr>
          <w:rFonts w:hint="eastAsia"/>
          <w:sz w:val="21"/>
          <w:szCs w:val="21"/>
          <w:lang w:eastAsia="zh-CN"/>
        </w:rPr>
        <w:t xml:space="preserve"> OFF power is defined </w:t>
      </w:r>
      <w:r>
        <w:rPr>
          <w:rFonts w:hint="eastAsia"/>
          <w:snapToGrid/>
          <w:sz w:val="21"/>
          <w:szCs w:val="21"/>
          <w:lang w:eastAsia="zh-CN"/>
        </w:rPr>
        <w:t>in terms of PSD in 1MHz,</w:t>
      </w:r>
      <w:r>
        <w:rPr>
          <w:sz w:val="21"/>
          <w:szCs w:val="21"/>
          <w:lang w:eastAsia="zh-CN"/>
        </w:rPr>
        <w:t xml:space="preserve"> calculate</w:t>
      </w:r>
      <w:r>
        <w:rPr>
          <w:rFonts w:hint="eastAsia"/>
          <w:sz w:val="21"/>
          <w:szCs w:val="21"/>
          <w:lang w:eastAsia="zh-CN"/>
        </w:rPr>
        <w:t xml:space="preserve">d as </w:t>
      </w:r>
      <w:r>
        <w:rPr>
          <w:sz w:val="21"/>
          <w:szCs w:val="21"/>
          <w:lang w:eastAsia="zh-CN"/>
        </w:rPr>
        <w:t>following</w:t>
      </w:r>
      <w:r>
        <w:rPr>
          <w:rFonts w:hint="eastAsia"/>
          <w:sz w:val="21"/>
          <w:szCs w:val="21"/>
          <w:lang w:eastAsia="zh-CN"/>
        </w:rPr>
        <w:t>:</w:t>
      </w:r>
    </w:p>
    <w:p w14:paraId="1AA554EA">
      <w:pPr>
        <w:snapToGrid w:val="0"/>
        <w:spacing w:after="120"/>
        <w:ind w:left="900" w:hanging="480"/>
        <w:jc w:val="both"/>
        <w:rPr>
          <w:rFonts w:hint="eastAsia"/>
          <w:sz w:val="21"/>
          <w:szCs w:val="21"/>
          <w:lang w:eastAsia="zh-CN"/>
        </w:rPr>
      </w:pPr>
      <w:r>
        <w:rPr>
          <w:rFonts w:hint="eastAsia"/>
          <w:sz w:val="21"/>
          <w:szCs w:val="21"/>
          <w:lang w:eastAsia="zh-CN"/>
        </w:rPr>
        <w:t>[</w:t>
      </w:r>
      <w:r>
        <w:rPr>
          <w:sz w:val="21"/>
          <w:szCs w:val="21"/>
          <w:lang w:eastAsia="zh-CN"/>
        </w:rPr>
        <w:t>T</w:t>
      </w:r>
      <w:r>
        <w:rPr>
          <w:rFonts w:hint="eastAsia"/>
          <w:sz w:val="21"/>
          <w:szCs w:val="21"/>
          <w:lang w:eastAsia="zh-CN"/>
        </w:rPr>
        <w:t xml:space="preserve">ransmit OFF power] &lt; [Thermal noise] + [Noise Figure] </w:t>
      </w:r>
      <w:r>
        <w:rPr>
          <w:sz w:val="21"/>
          <w:szCs w:val="21"/>
          <w:lang w:eastAsia="zh-CN"/>
        </w:rPr>
        <w:t>–</w:t>
      </w:r>
      <w:r>
        <w:rPr>
          <w:rFonts w:hint="eastAsia"/>
          <w:sz w:val="21"/>
          <w:szCs w:val="21"/>
          <w:lang w:eastAsia="zh-CN"/>
        </w:rPr>
        <w:t xml:space="preserve"> 6dB + [Minimum coupling </w:t>
      </w:r>
      <w:r>
        <w:rPr>
          <w:sz w:val="21"/>
          <w:szCs w:val="21"/>
          <w:lang w:eastAsia="zh-CN"/>
        </w:rPr>
        <w:t>loss (</w:t>
      </w:r>
      <w:r>
        <w:rPr>
          <w:rFonts w:hint="eastAsia"/>
          <w:sz w:val="21"/>
          <w:szCs w:val="21"/>
          <w:lang w:eastAsia="zh-CN"/>
        </w:rPr>
        <w:t>MCL)</w:t>
      </w:r>
      <w:r>
        <w:rPr>
          <w:sz w:val="21"/>
          <w:szCs w:val="21"/>
          <w:lang w:eastAsia="zh-CN"/>
        </w:rPr>
        <w:t xml:space="preserve">] + </w:t>
      </w:r>
      <w:r>
        <w:rPr>
          <w:rFonts w:hint="eastAsia"/>
          <w:sz w:val="21"/>
          <w:szCs w:val="21"/>
          <w:lang w:eastAsia="zh-CN"/>
        </w:rPr>
        <w:t>10log</w:t>
      </w:r>
      <w:r>
        <w:rPr>
          <w:sz w:val="21"/>
          <w:szCs w:val="21"/>
          <w:lang w:eastAsia="zh-CN"/>
        </w:rPr>
        <w:t>[</w:t>
      </w:r>
      <w:r>
        <w:rPr>
          <w:rFonts w:hint="eastAsia"/>
          <w:sz w:val="21"/>
          <w:szCs w:val="21"/>
          <w:lang w:eastAsia="zh-CN"/>
        </w:rPr>
        <w:t>1MHz]</w:t>
      </w:r>
    </w:p>
    <w:p w14:paraId="1363D3C3">
      <w:pPr>
        <w:snapToGrid w:val="0"/>
        <w:spacing w:after="120"/>
        <w:ind w:left="900" w:hanging="480"/>
        <w:jc w:val="both"/>
        <w:rPr>
          <w:rFonts w:hint="eastAsia"/>
          <w:sz w:val="21"/>
          <w:szCs w:val="21"/>
          <w:lang w:val="en-US" w:eastAsia="zh-CN"/>
        </w:rPr>
      </w:pPr>
      <w:r>
        <w:rPr>
          <w:rFonts w:hint="eastAsia"/>
          <w:sz w:val="21"/>
          <w:szCs w:val="21"/>
          <w:lang w:eastAsia="zh-CN"/>
        </w:rPr>
        <w:tab/>
      </w:r>
      <w:r>
        <w:rPr>
          <w:rFonts w:hint="eastAsia"/>
          <w:sz w:val="21"/>
          <w:szCs w:val="21"/>
          <w:lang w:eastAsia="zh-CN"/>
        </w:rPr>
        <w:t>&lt;</w:t>
      </w:r>
      <w:r>
        <w:rPr>
          <w:rFonts w:hint="eastAsia"/>
          <w:sz w:val="21"/>
          <w:szCs w:val="21"/>
          <w:lang w:val="en-US" w:eastAsia="zh-CN"/>
        </w:rPr>
        <w:t xml:space="preserve"> -174 + 5 </w:t>
      </w:r>
      <w:r>
        <w:rPr>
          <w:sz w:val="21"/>
          <w:szCs w:val="21"/>
          <w:lang w:val="en-US" w:eastAsia="zh-CN"/>
        </w:rPr>
        <w:t>–</w:t>
      </w:r>
      <w:r>
        <w:rPr>
          <w:rFonts w:hint="eastAsia"/>
          <w:sz w:val="21"/>
          <w:szCs w:val="21"/>
          <w:lang w:val="en-US" w:eastAsia="zh-CN"/>
        </w:rPr>
        <w:t xml:space="preserve"> 6 + MCL+60</w:t>
      </w:r>
    </w:p>
    <w:p w14:paraId="357E0ADB">
      <w:pPr>
        <w:snapToGrid w:val="0"/>
        <w:spacing w:after="120"/>
        <w:ind w:left="900" w:hanging="480"/>
        <w:jc w:val="both"/>
        <w:rPr>
          <w:rFonts w:hint="eastAsia"/>
          <w:sz w:val="21"/>
          <w:szCs w:val="21"/>
          <w:lang w:eastAsia="zh-CN"/>
        </w:rPr>
      </w:pPr>
      <w:r>
        <w:rPr>
          <w:rFonts w:hint="eastAsia"/>
          <w:sz w:val="21"/>
          <w:szCs w:val="21"/>
          <w:lang w:val="en-US" w:eastAsia="zh-CN"/>
        </w:rPr>
        <w:tab/>
      </w:r>
      <w:r>
        <w:rPr>
          <w:rFonts w:hint="eastAsia"/>
          <w:sz w:val="21"/>
          <w:szCs w:val="21"/>
          <w:lang w:val="en-US" w:eastAsia="zh-CN"/>
        </w:rPr>
        <w:t>&lt;</w:t>
      </w:r>
      <w:r>
        <w:rPr>
          <w:rFonts w:hint="eastAsia"/>
          <w:sz w:val="21"/>
          <w:szCs w:val="21"/>
          <w:lang w:eastAsia="zh-CN"/>
        </w:rPr>
        <w:t xml:space="preserve"> -115dBm/MHz + MCL</w:t>
      </w:r>
    </w:p>
    <w:p w14:paraId="63827DCA">
      <w:pPr>
        <w:snapToGrid w:val="0"/>
        <w:spacing w:after="120"/>
        <w:jc w:val="both"/>
        <w:rPr>
          <w:rFonts w:hint="eastAsia"/>
          <w:sz w:val="21"/>
          <w:szCs w:val="21"/>
          <w:lang w:eastAsia="zh-CN"/>
        </w:rPr>
      </w:pPr>
      <w:r>
        <w:rPr>
          <w:rFonts w:hint="eastAsia"/>
          <w:sz w:val="21"/>
          <w:szCs w:val="21"/>
          <w:lang w:eastAsia="zh-CN"/>
        </w:rPr>
        <w:t>Considering the worst case is that eNBs are co-</w:t>
      </w:r>
      <w:r>
        <w:rPr>
          <w:sz w:val="21"/>
          <w:szCs w:val="21"/>
          <w:lang w:eastAsia="zh-CN"/>
        </w:rPr>
        <w:t>located,</w:t>
      </w:r>
      <w:r>
        <w:rPr>
          <w:rFonts w:hint="eastAsia"/>
          <w:sz w:val="21"/>
          <w:szCs w:val="21"/>
          <w:lang w:eastAsia="zh-CN"/>
        </w:rPr>
        <w:t xml:space="preserve"> the minimum coupling loss(MCL) is assumed 30dB. The transmit OFF power is -85dBm/MHz.</w:t>
      </w:r>
    </w:p>
    <w:p w14:paraId="0F8F6013">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highlight w:val="yellow"/>
          <w:lang w:val="en-US" w:eastAsia="zh-CN"/>
        </w:rPr>
      </w:pPr>
      <w:r>
        <w:rPr>
          <w:rFonts w:hint="eastAsia"/>
          <w:sz w:val="21"/>
          <w:szCs w:val="21"/>
          <w:lang w:val="en-US" w:eastAsia="zh-CN"/>
        </w:rPr>
        <w:t>2.2.2.Co-location spurious emission requirement/</w:t>
      </w:r>
      <w:r>
        <w:rPr>
          <w:rFonts w:hint="default"/>
        </w:rPr>
        <w:t>Protection of the BS receiver of own or different BS</w:t>
      </w:r>
    </w:p>
    <w:p w14:paraId="24ACAB20">
      <w:pPr>
        <w:pStyle w:val="48"/>
        <w:numPr>
          <w:ilvl w:val="0"/>
          <w:numId w:val="9"/>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14:paraId="2BA6743A">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14:paraId="11778AC8">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14:paraId="3126C8D8">
      <w:pPr>
        <w:numPr>
          <w:ilvl w:val="0"/>
          <w:numId w:val="0"/>
        </w:numPr>
        <w:spacing w:after="180"/>
        <w:jc w:val="left"/>
        <w:rPr>
          <w:rFonts w:hint="eastAsia" w:eastAsia="Times New Roman" w:cs="Times New Roman"/>
          <w:vertAlign w:val="baseline"/>
          <w:lang w:val="en-US" w:eastAsia="zh-CN"/>
        </w:rPr>
      </w:pPr>
      <w:r>
        <w:rPr>
          <w:rFonts w:hint="eastAsia" w:eastAsia="Times New Roman" w:cs="Times New Roman"/>
          <w:vertAlign w:val="baseline"/>
          <w:lang w:val="en-US" w:eastAsia="zh-CN"/>
        </w:rPr>
        <w:t>Where :</w:t>
      </w:r>
    </w:p>
    <w:p w14:paraId="2D22DB47">
      <w:pPr>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w:t>
      </w:r>
    </w:p>
    <w:p w14:paraId="687D703D">
      <w:pPr>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The BS of different classes will have different Noise figures. Generally, in most 3GPP spec, we assume that   the WA NF = 5dB, MR NF = 10dB, and LA NF = 13dB. </w:t>
      </w:r>
    </w:p>
    <w:p w14:paraId="0CB0A77A">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eastAsia"/>
          <w:sz w:val="21"/>
          <w:szCs w:val="21"/>
          <w:lang w:val="en-US" w:eastAsia="zh-CN"/>
        </w:rPr>
      </w:pPr>
      <w:r>
        <w:rPr>
          <w:rFonts w:hint="eastAsia"/>
          <w:sz w:val="21"/>
          <w:szCs w:val="21"/>
          <w:lang w:val="en-US" w:eastAsia="zh-CN"/>
        </w:rPr>
        <w:t>2.2.3.Tx IMD requirement</w:t>
      </w:r>
    </w:p>
    <w:p w14:paraId="0429F654">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 xml:space="preserve">Interfering signal level is equal to </w:t>
      </w: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r>
        <w:rPr>
          <w:rFonts w:hint="eastAsia"/>
          <w:lang w:val="en-US" w:eastAsia="zh-CN"/>
        </w:rPr>
        <w:t xml:space="preserve"> 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72F4788A">
      <w:pPr>
        <w:pStyle w:val="47"/>
        <w:rPr>
          <w:rFonts w:eastAsia="宋体"/>
          <w:lang w:eastAsia="zh-CN"/>
        </w:rPr>
      </w:pPr>
      <w:r>
        <w:t xml:space="preserve">Table </w:t>
      </w:r>
      <w:r>
        <w:rPr>
          <w:rFonts w:eastAsia="宋体"/>
          <w:lang w:eastAsia="zh-CN"/>
        </w:rPr>
        <w:t>6.7.2.1-1</w:t>
      </w:r>
      <w:r>
        <w:t>: Interfering and wanted signals for the co-location transmitter intermodulation requirement</w:t>
      </w:r>
    </w:p>
    <w:tbl>
      <w:tblPr>
        <w:tblStyle w:val="25"/>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29"/>
        <w:gridCol w:w="3781"/>
      </w:tblGrid>
      <w:tr w14:paraId="7B69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629" w:type="dxa"/>
            <w:shd w:val="clear" w:color="auto" w:fill="auto"/>
          </w:tcPr>
          <w:p w14:paraId="773F26AF">
            <w:pPr>
              <w:pStyle w:val="37"/>
              <w:suppressLineNumbers w:val="0"/>
              <w:spacing w:before="0" w:beforeAutospacing="0" w:afterAutospacing="0"/>
              <w:ind w:left="0" w:right="0"/>
              <w:rPr>
                <w:rFonts w:hint="default"/>
              </w:rPr>
            </w:pPr>
            <w:r>
              <w:rPr>
                <w:rFonts w:hint="default"/>
              </w:rPr>
              <w:t>Parameter</w:t>
            </w:r>
          </w:p>
        </w:tc>
        <w:tc>
          <w:tcPr>
            <w:tcW w:w="3781" w:type="dxa"/>
            <w:shd w:val="clear" w:color="auto" w:fill="auto"/>
          </w:tcPr>
          <w:p w14:paraId="17F49A97">
            <w:pPr>
              <w:pStyle w:val="37"/>
              <w:suppressLineNumbers w:val="0"/>
              <w:spacing w:before="0" w:beforeAutospacing="0" w:afterAutospacing="0"/>
              <w:ind w:left="0" w:right="0"/>
              <w:rPr>
                <w:rFonts w:hint="default"/>
              </w:rPr>
            </w:pPr>
            <w:r>
              <w:rPr>
                <w:rFonts w:hint="default"/>
              </w:rPr>
              <w:t>Value</w:t>
            </w:r>
          </w:p>
        </w:tc>
      </w:tr>
      <w:tr w14:paraId="2CE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19AFB6DD">
            <w:pPr>
              <w:pStyle w:val="39"/>
              <w:suppressLineNumbers w:val="0"/>
              <w:spacing w:before="0" w:beforeAutospacing="0" w:afterAutospacing="0"/>
              <w:ind w:left="0" w:right="0"/>
              <w:rPr>
                <w:rFonts w:hint="default"/>
                <w:szCs w:val="18"/>
              </w:rPr>
            </w:pPr>
            <w:r>
              <w:rPr>
                <w:rFonts w:hint="default"/>
                <w:szCs w:val="18"/>
              </w:rPr>
              <w:t>Wanted signal type</w:t>
            </w:r>
          </w:p>
        </w:tc>
        <w:tc>
          <w:tcPr>
            <w:tcW w:w="3781" w:type="dxa"/>
            <w:shd w:val="clear" w:color="auto" w:fill="auto"/>
          </w:tcPr>
          <w:p w14:paraId="5936492C">
            <w:pPr>
              <w:pStyle w:val="39"/>
              <w:suppressLineNumbers w:val="0"/>
              <w:spacing w:before="0" w:beforeAutospacing="0" w:afterAutospacing="0"/>
              <w:ind w:left="0" w:right="0"/>
              <w:rPr>
                <w:rFonts w:hint="default"/>
                <w:szCs w:val="18"/>
                <w:lang w:eastAsia="zh-CN"/>
              </w:rPr>
            </w:pPr>
            <w:r>
              <w:rPr>
                <w:rFonts w:hint="default"/>
                <w:szCs w:val="18"/>
                <w:lang w:eastAsia="zh-CN"/>
              </w:rPr>
              <w:t>NR single carrier</w:t>
            </w:r>
            <w:r>
              <w:rPr>
                <w:rFonts w:hint="default"/>
                <w:lang w:val="en-US" w:eastAsia="zh-CN"/>
              </w:rPr>
              <w:t xml:space="preserve">, </w:t>
            </w:r>
            <w:r>
              <w:rPr>
                <w:rFonts w:hint="default" w:cs="Arial"/>
              </w:rPr>
              <w:t>or multi-carrier, or multiple intra-band contiguously or non-contiguously aggregated carriers, with NB-IoT operation in NR in-band if supported.</w:t>
            </w:r>
          </w:p>
        </w:tc>
      </w:tr>
      <w:tr w14:paraId="19E7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4660DAED">
            <w:pPr>
              <w:pStyle w:val="39"/>
              <w:suppressLineNumbers w:val="0"/>
              <w:spacing w:before="0" w:beforeAutospacing="0" w:afterAutospacing="0"/>
              <w:ind w:left="0" w:right="0"/>
              <w:rPr>
                <w:rFonts w:hint="default"/>
                <w:szCs w:val="18"/>
                <w:lang w:eastAsia="zh-CN"/>
              </w:rPr>
            </w:pPr>
            <w:r>
              <w:rPr>
                <w:rFonts w:hint="default"/>
                <w:szCs w:val="18"/>
              </w:rPr>
              <w:t>Interfering signal type</w:t>
            </w:r>
          </w:p>
        </w:tc>
        <w:tc>
          <w:tcPr>
            <w:tcW w:w="3781" w:type="dxa"/>
            <w:shd w:val="clear" w:color="auto" w:fill="auto"/>
          </w:tcPr>
          <w:p w14:paraId="5071392C">
            <w:pPr>
              <w:pStyle w:val="39"/>
              <w:suppressLineNumbers w:val="0"/>
              <w:spacing w:before="0" w:beforeAutospacing="0" w:afterAutospacing="0"/>
              <w:ind w:left="0" w:right="0"/>
              <w:rPr>
                <w:rFonts w:hint="default"/>
                <w:szCs w:val="18"/>
                <w:lang w:eastAsia="zh-CN"/>
              </w:rPr>
            </w:pPr>
            <w:r>
              <w:rPr>
                <w:rFonts w:hint="default"/>
                <w:szCs w:val="18"/>
                <w:lang w:eastAsia="zh-CN"/>
              </w:rPr>
              <w:t xml:space="preserve">NR </w:t>
            </w:r>
            <w:r>
              <w:rPr>
                <w:rFonts w:hint="default"/>
                <w:szCs w:val="18"/>
              </w:rPr>
              <w:t>signal</w:t>
            </w:r>
            <w:r>
              <w:rPr>
                <w:rFonts w:hint="default"/>
                <w:szCs w:val="18"/>
                <w:lang w:eastAsia="zh-CN"/>
              </w:rPr>
              <w:t>,</w:t>
            </w:r>
            <w:r>
              <w:rPr>
                <w:rFonts w:hint="default"/>
                <w:szCs w:val="18"/>
              </w:rPr>
              <w:t xml:space="preserve"> </w:t>
            </w:r>
            <w:r>
              <w:rPr>
                <w:rFonts w:hint="default"/>
                <w:szCs w:val="18"/>
                <w:lang w:eastAsia="zh-CN"/>
              </w:rPr>
              <w:t xml:space="preserve">the minimum </w:t>
            </w:r>
            <w:r>
              <w:rPr>
                <w:rFonts w:hint="default"/>
                <w:i/>
                <w:szCs w:val="18"/>
                <w:lang w:eastAsia="zh-CN"/>
              </w:rPr>
              <w:t>BS channel bandwidth</w:t>
            </w:r>
            <w:r>
              <w:rPr>
                <w:rFonts w:hint="default"/>
                <w:szCs w:val="18"/>
                <w:lang w:eastAsia="zh-CN"/>
              </w:rPr>
              <w:t xml:space="preserve"> (BW</w:t>
            </w:r>
            <w:r>
              <w:rPr>
                <w:rFonts w:hint="default"/>
                <w:szCs w:val="18"/>
                <w:vertAlign w:val="subscript"/>
                <w:lang w:eastAsia="zh-CN"/>
              </w:rPr>
              <w:t>Channel</w:t>
            </w:r>
            <w:r>
              <w:rPr>
                <w:rFonts w:hint="default"/>
                <w:szCs w:val="18"/>
                <w:lang w:eastAsia="zh-CN"/>
              </w:rPr>
              <w:t xml:space="preserve">) with 15 kHz SCS </w:t>
            </w:r>
            <w:r>
              <w:rPr>
                <w:rFonts w:hint="default"/>
                <w:szCs w:val="18"/>
              </w:rPr>
              <w:t xml:space="preserve">of </w:t>
            </w:r>
            <w:r>
              <w:rPr>
                <w:rFonts w:hint="default"/>
                <w:szCs w:val="18"/>
                <w:lang w:eastAsia="zh-CN"/>
              </w:rPr>
              <w:t xml:space="preserve">the band defined in clause 5.3.5.  </w:t>
            </w:r>
          </w:p>
        </w:tc>
      </w:tr>
      <w:tr w14:paraId="1C57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BB7EAC0">
            <w:pPr>
              <w:pStyle w:val="39"/>
              <w:suppressLineNumbers w:val="0"/>
              <w:spacing w:before="0" w:beforeAutospacing="0" w:afterAutospacing="0"/>
              <w:ind w:left="0" w:right="0"/>
              <w:rPr>
                <w:rFonts w:hint="default"/>
                <w:szCs w:val="18"/>
              </w:rPr>
            </w:pPr>
            <w:r>
              <w:rPr>
                <w:rFonts w:hint="default"/>
                <w:szCs w:val="18"/>
              </w:rPr>
              <w:t>Interfering signal level</w:t>
            </w:r>
          </w:p>
        </w:tc>
        <w:tc>
          <w:tcPr>
            <w:tcW w:w="3781" w:type="dxa"/>
            <w:shd w:val="clear" w:color="auto" w:fill="auto"/>
          </w:tcPr>
          <w:p w14:paraId="5DD99D81">
            <w:pPr>
              <w:pStyle w:val="39"/>
              <w:suppressLineNumbers w:val="0"/>
              <w:spacing w:before="0" w:beforeAutospacing="0" w:afterAutospacing="0"/>
              <w:ind w:left="0" w:right="0"/>
              <w:rPr>
                <w:rFonts w:hint="default"/>
                <w:szCs w:val="18"/>
              </w:rPr>
            </w:pPr>
            <w:r>
              <w:rPr>
                <w:rFonts w:hint="default"/>
                <w:i/>
              </w:rPr>
              <w:t>Rated total output power</w:t>
            </w:r>
            <w:r>
              <w:rPr>
                <w:rFonts w:hint="default"/>
              </w:rPr>
              <w:t xml:space="preserve"> (</w:t>
            </w:r>
            <w:r>
              <w:rPr>
                <w:rFonts w:hint="default"/>
                <w:lang w:eastAsia="zh-CN"/>
              </w:rPr>
              <w:t>P</w:t>
            </w:r>
            <w:r>
              <w:rPr>
                <w:rFonts w:hint="default"/>
                <w:vertAlign w:val="subscript"/>
                <w:lang w:eastAsia="zh-CN"/>
              </w:rPr>
              <w:t>rated,t,AC</w:t>
            </w:r>
            <w:r>
              <w:rPr>
                <w:rFonts w:hint="default"/>
              </w:rPr>
              <w:t xml:space="preserve">) in the </w:t>
            </w:r>
            <w:r>
              <w:rPr>
                <w:rFonts w:hint="default"/>
                <w:i/>
              </w:rPr>
              <w:t>operating band</w:t>
            </w:r>
            <w:r>
              <w:rPr>
                <w:rFonts w:hint="default"/>
              </w:rPr>
              <w:t xml:space="preserve"> – 30 dB</w:t>
            </w:r>
          </w:p>
        </w:tc>
      </w:tr>
      <w:tr w14:paraId="5546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9" w:type="dxa"/>
            <w:shd w:val="clear" w:color="auto" w:fill="auto"/>
          </w:tcPr>
          <w:p w14:paraId="291930B2">
            <w:pPr>
              <w:pStyle w:val="39"/>
              <w:suppressLineNumbers w:val="0"/>
              <w:spacing w:before="0" w:beforeAutospacing="0" w:afterAutospacing="0"/>
              <w:ind w:left="0" w:right="0"/>
              <w:rPr>
                <w:rFonts w:hint="default"/>
                <w:szCs w:val="18"/>
                <w:lang w:eastAsia="zh-CN"/>
              </w:rPr>
            </w:pPr>
            <w:r>
              <w:rPr>
                <w:rFonts w:hint="default"/>
                <w:szCs w:val="18"/>
              </w:rPr>
              <w:t xml:space="preserve">Interfering signal centre frequency offset from </w:t>
            </w:r>
            <w:r>
              <w:rPr>
                <w:rFonts w:hint="default"/>
                <w:szCs w:val="18"/>
                <w:lang w:eastAsia="zh-CN"/>
              </w:rPr>
              <w:t xml:space="preserve">the </w:t>
            </w:r>
            <w:r>
              <w:rPr>
                <w:rFonts w:hint="default"/>
                <w:szCs w:val="18"/>
              </w:rPr>
              <w:t>lower/upper edge of the wanted signal</w:t>
            </w:r>
            <w:r>
              <w:rPr>
                <w:rFonts w:hint="default" w:cs="Arial"/>
              </w:rPr>
              <w:t xml:space="preserve"> or edge of </w:t>
            </w:r>
            <w:r>
              <w:rPr>
                <w:rFonts w:hint="default" w:cs="Arial"/>
                <w:i/>
              </w:rPr>
              <w:t>sub-block</w:t>
            </w:r>
            <w:r>
              <w:rPr>
                <w:rFonts w:hint="default" w:cs="Arial"/>
              </w:rPr>
              <w:t xml:space="preserve"> inside a </w:t>
            </w:r>
            <w:r>
              <w:rPr>
                <w:rFonts w:hint="default" w:cs="Arial"/>
                <w:i/>
              </w:rPr>
              <w:t>sub-block gap</w:t>
            </w:r>
          </w:p>
        </w:tc>
        <w:tc>
          <w:tcPr>
            <w:tcW w:w="3781" w:type="dxa"/>
            <w:shd w:val="clear" w:color="auto" w:fill="auto"/>
          </w:tcPr>
          <w:p w14:paraId="53565382">
            <w:pPr>
              <w:pStyle w:val="39"/>
              <w:suppressLineNumbers w:val="0"/>
              <w:spacing w:before="0" w:beforeAutospacing="0" w:afterAutospacing="0"/>
              <w:ind w:left="0" w:right="0"/>
              <w:rPr>
                <w:rFonts w:hint="default"/>
                <w:szCs w:val="18"/>
                <w:lang w:eastAsia="zh-CN"/>
              </w:rPr>
            </w:pPr>
            <w:r>
              <w:rPr>
                <w:rFonts w:hint="default"/>
                <w:position w:val="-28"/>
              </w:rPr>
              <w:object>
                <v:shape id="_x0000_i1025" o:spt="75" type="#_x0000_t75" style="height:29.25pt;width:101.2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default"/>
              </w:rPr>
              <w:t>, for n=1, 2 and 3</w:t>
            </w:r>
            <w:r>
              <w:rPr>
                <w:rFonts w:hint="default"/>
                <w:szCs w:val="18"/>
              </w:rPr>
              <w:t xml:space="preserve"> </w:t>
            </w:r>
          </w:p>
        </w:tc>
      </w:tr>
      <w:tr w14:paraId="780A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10" w:type="dxa"/>
            <w:gridSpan w:val="2"/>
            <w:shd w:val="clear" w:color="auto" w:fill="auto"/>
          </w:tcPr>
          <w:p w14:paraId="04221D44">
            <w:pPr>
              <w:pStyle w:val="50"/>
              <w:suppressLineNumbers w:val="0"/>
              <w:spacing w:before="0" w:beforeAutospacing="0" w:afterAutospacing="0"/>
              <w:ind w:right="0"/>
              <w:rPr>
                <w:rFonts w:hint="default"/>
                <w:lang w:eastAsia="ja-JP"/>
              </w:rPr>
            </w:pPr>
            <w:r>
              <w:rPr>
                <w:rFonts w:hint="default"/>
              </w:rPr>
              <w:t>NOTE 1</w:t>
            </w:r>
            <w:r>
              <w:rPr>
                <w:rFonts w:hint="default"/>
                <w:lang w:eastAsia="ja-JP"/>
              </w:rPr>
              <w:t>:</w:t>
            </w:r>
            <w:r>
              <w:rPr>
                <w:rFonts w:hint="default"/>
              </w:rPr>
              <w:tab/>
            </w:r>
            <w:r>
              <w:rPr>
                <w:rFonts w:hint="default"/>
                <w:lang w:eastAsia="zh-CN"/>
              </w:rPr>
              <w:t xml:space="preserve">Interfering signal positions that are partially or completely outside of any downlink </w:t>
            </w:r>
            <w:r>
              <w:rPr>
                <w:rFonts w:hint="default"/>
                <w:i/>
                <w:lang w:eastAsia="zh-CN"/>
              </w:rPr>
              <w:t>operating band</w:t>
            </w:r>
            <w:r>
              <w:rPr>
                <w:rFonts w:hint="default"/>
                <w:lang w:eastAsia="zh-CN"/>
              </w:rPr>
              <w:t xml:space="preserve"> of the base station are excluded from the requirement, unless the interfering signal positions fall within the frequency range of adjacent downlink </w:t>
            </w:r>
            <w:r>
              <w:rPr>
                <w:rFonts w:hint="default"/>
                <w:i/>
                <w:lang w:eastAsia="zh-CN"/>
              </w:rPr>
              <w:t>operating bands</w:t>
            </w:r>
            <w:r>
              <w:rPr>
                <w:rFonts w:hint="default"/>
                <w:lang w:eastAsia="zh-CN"/>
              </w:rPr>
              <w:t xml:space="preserve"> in the same geographical area. In case that none of the interfering signal positions fall completely within the frequency range of the downlink </w:t>
            </w:r>
            <w:r>
              <w:rPr>
                <w:rFonts w:hint="default"/>
                <w:i/>
                <w:lang w:eastAsia="zh-CN"/>
              </w:rPr>
              <w:t>operating band</w:t>
            </w:r>
            <w:r>
              <w:rPr>
                <w:rFonts w:hint="default"/>
                <w:lang w:eastAsia="zh-CN"/>
              </w:rPr>
              <w:t>, TS 38.141-1 [5] provides further guidance regarding appropriate test requirements.</w:t>
            </w:r>
            <w:r>
              <w:rPr>
                <w:rFonts w:hint="default"/>
                <w:lang w:eastAsia="ja-JP"/>
              </w:rPr>
              <w:t xml:space="preserve"> </w:t>
            </w:r>
          </w:p>
          <w:p w14:paraId="5B8CD161">
            <w:pPr>
              <w:pStyle w:val="50"/>
              <w:suppressLineNumbers w:val="0"/>
              <w:spacing w:before="0" w:beforeAutospacing="0" w:afterAutospacing="0"/>
              <w:ind w:right="0"/>
              <w:rPr>
                <w:rFonts w:hint="default"/>
                <w:lang w:eastAsia="zh-CN"/>
              </w:rPr>
            </w:pPr>
            <w:r>
              <w:rPr>
                <w:rFonts w:hint="default" w:cs="Arial"/>
              </w:rPr>
              <w:t>NOTE</w:t>
            </w:r>
            <w:r>
              <w:rPr>
                <w:rFonts w:hint="default" w:cs="Arial"/>
                <w:lang w:eastAsia="ja-JP"/>
              </w:rPr>
              <w:t xml:space="preserve"> </w:t>
            </w:r>
            <w:r>
              <w:rPr>
                <w:rFonts w:hint="default" w:cs="Arial"/>
              </w:rPr>
              <w:t>2:</w:t>
            </w:r>
            <w:r>
              <w:rPr>
                <w:rFonts w:hint="default" w:cs="Arial"/>
              </w:rPr>
              <w:tab/>
            </w:r>
            <w:r>
              <w:rPr>
                <w:rFonts w:hint="default" w:cs="Arial"/>
              </w:rPr>
              <w:t>In Japan, NOTE</w:t>
            </w:r>
            <w:r>
              <w:rPr>
                <w:rFonts w:hint="default" w:cs="Arial"/>
                <w:lang w:eastAsia="ja-JP"/>
              </w:rPr>
              <w:t xml:space="preserve"> </w:t>
            </w:r>
            <w:r>
              <w:rPr>
                <w:rFonts w:hint="default" w:cs="Arial"/>
              </w:rPr>
              <w:t xml:space="preserve">1 is not applied in Band </w:t>
            </w:r>
            <w:r>
              <w:rPr>
                <w:rFonts w:hint="default" w:cs="Arial"/>
                <w:lang w:eastAsia="ja-JP"/>
              </w:rPr>
              <w:t>n77, n78, n79</w:t>
            </w:r>
            <w:r>
              <w:rPr>
                <w:rFonts w:hint="default" w:cs="Arial"/>
              </w:rPr>
              <w:t>.</w:t>
            </w:r>
          </w:p>
        </w:tc>
      </w:tr>
    </w:tbl>
    <w:p w14:paraId="48BD727A">
      <w:pPr>
        <w:tabs>
          <w:tab w:val="left" w:pos="2127"/>
        </w:tabs>
        <w:spacing w:after="0"/>
        <w:rPr>
          <w:rFonts w:hint="default"/>
          <w:highlight w:val="yellow"/>
          <w:lang w:val="en-US" w:eastAsia="zh-CN"/>
        </w:rPr>
      </w:pPr>
    </w:p>
    <w:p w14:paraId="18C83948">
      <w:pPr>
        <w:rPr>
          <w:rFonts w:eastAsia="宋体"/>
          <w:lang w:eastAsia="zh-CN"/>
        </w:rPr>
      </w:pPr>
    </w:p>
    <w:p w14:paraId="6C04AB6E">
      <w:pPr>
        <w:keepNext w:val="0"/>
        <w:keepLines w:val="0"/>
        <w:pageBreakBefore w:val="0"/>
        <w:widowControl w:val="0"/>
        <w:kinsoku/>
        <w:wordWrap/>
        <w:overflowPunct/>
        <w:topLinePunct w:val="0"/>
        <w:autoSpaceDE/>
        <w:autoSpaceDN/>
        <w:bidi w:val="0"/>
        <w:adjustRightInd/>
        <w:snapToGrid w:val="0"/>
        <w:spacing w:after="120" w:line="260" w:lineRule="auto"/>
        <w:jc w:val="both"/>
        <w:textAlignment w:val="auto"/>
        <w:outlineLvl w:val="2"/>
        <w:rPr>
          <w:rFonts w:hint="default"/>
          <w:lang w:val="en-US" w:eastAsia="zh-CN"/>
        </w:rPr>
      </w:pPr>
      <w:r>
        <w:rPr>
          <w:rFonts w:hint="eastAsia"/>
          <w:sz w:val="21"/>
          <w:szCs w:val="21"/>
          <w:lang w:val="en-US" w:eastAsia="zh-CN"/>
        </w:rPr>
        <w:t>2.2.4.Co-located OOBB requirement</w:t>
      </w:r>
    </w:p>
    <w:p w14:paraId="730FABF7">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hint="eastAsia"/>
          <w:sz w:val="21"/>
          <w:szCs w:val="21"/>
          <w:lang w:val="en-US" w:eastAsia="zh-CN"/>
        </w:rPr>
      </w:pPr>
      <w:r>
        <w:rPr>
          <w:rFonts w:hint="eastAsia"/>
          <w:sz w:val="21"/>
          <w:szCs w:val="21"/>
          <w:lang w:val="en-US" w:eastAsia="zh-CN"/>
        </w:rPr>
        <w:t>Interfering signal level for WA, MR and LA is based on the following calculation assumption:</w:t>
      </w:r>
    </w:p>
    <w:p w14:paraId="5C56A6B2">
      <w:pPr>
        <w:keepNext w:val="0"/>
        <w:keepLines w:val="0"/>
        <w:pageBreakBefore w:val="0"/>
        <w:widowControl w:val="0"/>
        <w:numPr>
          <w:ilvl w:val="0"/>
          <w:numId w:val="11"/>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46dBm-MCL;</w:t>
      </w:r>
    </w:p>
    <w:p w14:paraId="24431E6A">
      <w:pPr>
        <w:keepNext w:val="0"/>
        <w:keepLines w:val="0"/>
        <w:pageBreakBefore w:val="0"/>
        <w:widowControl w:val="0"/>
        <w:numPr>
          <w:ilvl w:val="0"/>
          <w:numId w:val="11"/>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38dBm-MCL;</w:t>
      </w:r>
    </w:p>
    <w:p w14:paraId="2DF19478">
      <w:pPr>
        <w:keepNext w:val="0"/>
        <w:keepLines w:val="0"/>
        <w:pageBreakBefore w:val="0"/>
        <w:widowControl w:val="0"/>
        <w:numPr>
          <w:ilvl w:val="0"/>
          <w:numId w:val="11"/>
        </w:numPr>
        <w:kinsoku/>
        <w:wordWrap/>
        <w:overflowPunct/>
        <w:topLinePunct w:val="0"/>
        <w:autoSpaceDE/>
        <w:autoSpaceDN/>
        <w:bidi w:val="0"/>
        <w:adjustRightInd/>
        <w:snapToGrid/>
        <w:ind w:leftChars="0"/>
        <w:jc w:val="left"/>
        <w:textAlignment w:val="auto"/>
        <w:rPr>
          <w:rFonts w:hint="default"/>
          <w:sz w:val="21"/>
          <w:szCs w:val="21"/>
          <w:lang w:val="en-US" w:eastAsia="zh-CN"/>
        </w:rPr>
      </w:pPr>
      <w:r>
        <w:rPr>
          <w:rFonts w:hint="eastAsia"/>
          <w:sz w:val="21"/>
          <w:szCs w:val="21"/>
          <w:lang w:val="en-US" w:eastAsia="zh-CN"/>
        </w:rPr>
        <w:t>24dBm-MCL;</w:t>
      </w:r>
    </w:p>
    <w:p w14:paraId="46E63878">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eastAsia="宋体"/>
          <w:i/>
          <w:lang w:val="en-US" w:eastAsia="zh-CN"/>
        </w:rPr>
      </w:pPr>
      <w:r>
        <w:rPr>
          <w:rFonts w:hint="eastAsia"/>
          <w:lang w:val="en-US" w:eastAsia="zh-CN"/>
        </w:rPr>
        <w:t>Where</w:t>
      </w:r>
      <w:r>
        <w:rPr>
          <w:rFonts w:hint="eastAsia"/>
          <w:sz w:val="21"/>
          <w:szCs w:val="21"/>
          <w:lang w:val="en-US" w:eastAsia="zh-CN"/>
        </w:rPr>
        <w:t xml:space="preserve"> </w:t>
      </w:r>
      <w:r>
        <w:rPr>
          <w:rFonts w:hint="eastAsia"/>
          <w:lang w:val="en-US" w:eastAsia="zh-CN"/>
        </w:rPr>
        <w:t>MCL refer to the minimum coupling loss which is 30dB in the past for 3GPP.</w:t>
      </w:r>
    </w:p>
    <w:p w14:paraId="61FF59F1">
      <w:pPr>
        <w:pStyle w:val="47"/>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2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14:paraId="488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14:paraId="3901ECC1">
            <w:pPr>
              <w:pStyle w:val="37"/>
              <w:suppressLineNumbers w:val="0"/>
              <w:spacing w:before="0" w:beforeAutospacing="0" w:afterAutospacing="0"/>
              <w:ind w:left="0" w:right="0"/>
              <w:rPr>
                <w:rFonts w:hint="default"/>
                <w:lang w:eastAsia="ja-JP"/>
              </w:rPr>
            </w:pPr>
            <w:r>
              <w:rPr>
                <w:rFonts w:hint="default"/>
                <w:lang w:eastAsia="ja-JP"/>
              </w:rPr>
              <w:t>Frequency range of interfering signal</w:t>
            </w:r>
          </w:p>
        </w:tc>
        <w:tc>
          <w:tcPr>
            <w:tcW w:w="1714" w:type="dxa"/>
          </w:tcPr>
          <w:p w14:paraId="347AED79">
            <w:pPr>
              <w:pStyle w:val="37"/>
              <w:suppressLineNumbers w:val="0"/>
              <w:spacing w:before="0" w:beforeAutospacing="0" w:afterAutospacing="0"/>
              <w:ind w:left="0" w:right="0"/>
              <w:rPr>
                <w:rFonts w:hint="default"/>
                <w:lang w:eastAsia="ja-JP"/>
              </w:rPr>
            </w:pPr>
            <w:r>
              <w:rPr>
                <w:rFonts w:hint="default"/>
                <w:lang w:eastAsia="ja-JP"/>
              </w:rPr>
              <w:t>Wanted signal mean power for WA BS (dBm)</w:t>
            </w:r>
          </w:p>
        </w:tc>
        <w:tc>
          <w:tcPr>
            <w:tcW w:w="1710" w:type="dxa"/>
          </w:tcPr>
          <w:p w14:paraId="20C646CA">
            <w:pPr>
              <w:pStyle w:val="37"/>
              <w:suppressLineNumbers w:val="0"/>
              <w:spacing w:before="0" w:beforeAutospacing="0" w:afterAutospacing="0"/>
              <w:ind w:left="0" w:right="0"/>
              <w:rPr>
                <w:rFonts w:hint="default"/>
                <w:lang w:eastAsia="ja-JP"/>
              </w:rPr>
            </w:pPr>
            <w:r>
              <w:rPr>
                <w:rFonts w:hint="default"/>
                <w:lang w:eastAsia="ja-JP"/>
              </w:rPr>
              <w:t>Interfering signal mean power for WA BS (dBm)</w:t>
            </w:r>
          </w:p>
        </w:tc>
        <w:tc>
          <w:tcPr>
            <w:tcW w:w="1700" w:type="dxa"/>
          </w:tcPr>
          <w:p w14:paraId="3BC539BA">
            <w:pPr>
              <w:pStyle w:val="37"/>
              <w:suppressLineNumbers w:val="0"/>
              <w:spacing w:before="0" w:beforeAutospacing="0" w:afterAutospacing="0"/>
              <w:ind w:left="0" w:right="0"/>
              <w:rPr>
                <w:rFonts w:hint="default"/>
                <w:lang w:eastAsia="ja-JP"/>
              </w:rPr>
            </w:pPr>
            <w:r>
              <w:rPr>
                <w:rFonts w:hint="default"/>
                <w:lang w:eastAsia="ja-JP"/>
              </w:rPr>
              <w:t>Interfering signal mean power for MR BS (dBm)</w:t>
            </w:r>
          </w:p>
        </w:tc>
        <w:tc>
          <w:tcPr>
            <w:tcW w:w="1396" w:type="dxa"/>
          </w:tcPr>
          <w:p w14:paraId="3EA18570">
            <w:pPr>
              <w:pStyle w:val="37"/>
              <w:suppressLineNumbers w:val="0"/>
              <w:spacing w:before="0" w:beforeAutospacing="0" w:afterAutospacing="0"/>
              <w:ind w:left="0" w:right="0"/>
              <w:rPr>
                <w:rFonts w:hint="default"/>
                <w:lang w:eastAsia="ja-JP"/>
              </w:rPr>
            </w:pPr>
            <w:r>
              <w:rPr>
                <w:rFonts w:hint="default"/>
                <w:lang w:eastAsia="ja-JP"/>
              </w:rPr>
              <w:t>Interfering signal mean power for LA BS (dBm)</w:t>
            </w:r>
          </w:p>
        </w:tc>
        <w:tc>
          <w:tcPr>
            <w:tcW w:w="1299" w:type="dxa"/>
          </w:tcPr>
          <w:p w14:paraId="17ABED6F">
            <w:pPr>
              <w:pStyle w:val="37"/>
              <w:suppressLineNumbers w:val="0"/>
              <w:spacing w:before="0" w:beforeAutospacing="0" w:afterAutospacing="0"/>
              <w:ind w:left="0" w:right="0"/>
              <w:rPr>
                <w:rFonts w:hint="default"/>
                <w:lang w:eastAsia="ja-JP"/>
              </w:rPr>
            </w:pPr>
            <w:r>
              <w:rPr>
                <w:rFonts w:hint="default"/>
                <w:lang w:eastAsia="ja-JP"/>
              </w:rPr>
              <w:t>Type of interfering signal</w:t>
            </w:r>
          </w:p>
        </w:tc>
      </w:tr>
      <w:tr w14:paraId="0A99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14:paraId="46E00261">
            <w:pPr>
              <w:pStyle w:val="38"/>
              <w:suppressLineNumbers w:val="0"/>
              <w:spacing w:before="0" w:beforeAutospacing="0" w:afterAutospacing="0"/>
              <w:ind w:left="0" w:right="0"/>
              <w:rPr>
                <w:rFonts w:hint="default" w:cs="Arial"/>
                <w:szCs w:val="18"/>
                <w:lang w:eastAsia="ja-JP"/>
              </w:rPr>
            </w:pPr>
            <w:r>
              <w:rPr>
                <w:rFonts w:hint="default"/>
                <w:lang w:eastAsia="zh-CN"/>
              </w:rPr>
              <w:t xml:space="preserve">Frequency range of co-located downlink </w:t>
            </w:r>
            <w:r>
              <w:rPr>
                <w:rFonts w:hint="default"/>
                <w:i/>
                <w:lang w:eastAsia="zh-CN"/>
              </w:rPr>
              <w:t>operating band</w:t>
            </w:r>
          </w:p>
        </w:tc>
        <w:tc>
          <w:tcPr>
            <w:tcW w:w="1714" w:type="dxa"/>
            <w:vAlign w:val="center"/>
          </w:tcPr>
          <w:p w14:paraId="4A34CDFC">
            <w:pPr>
              <w:pStyle w:val="38"/>
              <w:suppressLineNumbers w:val="0"/>
              <w:spacing w:before="0" w:beforeAutospacing="0" w:afterAutospacing="0"/>
              <w:ind w:left="0" w:right="0"/>
              <w:rPr>
                <w:rFonts w:hint="default" w:cs="Arial"/>
                <w:szCs w:val="18"/>
                <w:lang w:eastAsia="ja-JP"/>
              </w:rPr>
            </w:pPr>
            <w:r>
              <w:rPr>
                <w:rFonts w:hint="default"/>
              </w:rPr>
              <w:t>P</w:t>
            </w:r>
            <w:r>
              <w:rPr>
                <w:rFonts w:hint="default"/>
                <w:vertAlign w:val="subscript"/>
              </w:rPr>
              <w:t>REFSENS</w:t>
            </w:r>
            <w:r>
              <w:rPr>
                <w:rFonts w:hint="default"/>
              </w:rPr>
              <w:t xml:space="preserve"> +6dB</w:t>
            </w:r>
            <w:r>
              <w:rPr>
                <w:rFonts w:hint="default"/>
              </w:rPr>
              <w:br w:type="textWrapping"/>
            </w:r>
            <w:r>
              <w:rPr>
                <w:rFonts w:hint="default"/>
              </w:rPr>
              <w:t>(</w:t>
            </w:r>
            <w:r>
              <w:rPr>
                <w:rFonts w:hint="default" w:eastAsia="宋体"/>
                <w:lang w:val="en-US" w:eastAsia="zh-CN"/>
              </w:rPr>
              <w:t>Note 1</w:t>
            </w:r>
            <w:r>
              <w:rPr>
                <w:rFonts w:hint="default"/>
              </w:rPr>
              <w:t>)</w:t>
            </w:r>
          </w:p>
        </w:tc>
        <w:tc>
          <w:tcPr>
            <w:tcW w:w="1710" w:type="dxa"/>
            <w:vAlign w:val="center"/>
          </w:tcPr>
          <w:p w14:paraId="27A9258C">
            <w:pPr>
              <w:pStyle w:val="38"/>
              <w:suppressLineNumbers w:val="0"/>
              <w:spacing w:before="0" w:beforeAutospacing="0" w:afterAutospacing="0"/>
              <w:ind w:left="0" w:right="0"/>
              <w:rPr>
                <w:rFonts w:hint="default" w:cs="Arial"/>
                <w:szCs w:val="18"/>
                <w:lang w:eastAsia="ja-JP"/>
              </w:rPr>
            </w:pPr>
            <w:r>
              <w:rPr>
                <w:rFonts w:hint="default" w:cs="Arial"/>
                <w:szCs w:val="18"/>
                <w:lang w:eastAsia="ja-JP"/>
              </w:rPr>
              <w:t>+</w:t>
            </w:r>
            <w:r>
              <w:rPr>
                <w:rFonts w:hint="default" w:eastAsia="宋体" w:cs="Arial"/>
                <w:szCs w:val="18"/>
                <w:lang w:val="en-US" w:eastAsia="zh-CN"/>
              </w:rPr>
              <w:t>16</w:t>
            </w:r>
          </w:p>
        </w:tc>
        <w:tc>
          <w:tcPr>
            <w:tcW w:w="1700" w:type="dxa"/>
            <w:vAlign w:val="center"/>
          </w:tcPr>
          <w:p w14:paraId="733BC4A0">
            <w:pPr>
              <w:pStyle w:val="38"/>
              <w:suppressLineNumbers w:val="0"/>
              <w:spacing w:before="0" w:beforeAutospacing="0" w:afterAutospacing="0"/>
              <w:ind w:left="0" w:right="0"/>
              <w:rPr>
                <w:rFonts w:hint="default"/>
                <w:szCs w:val="18"/>
                <w:lang w:eastAsia="ja-JP"/>
              </w:rPr>
            </w:pPr>
            <w:r>
              <w:rPr>
                <w:rFonts w:hint="default" w:cs="Arial"/>
                <w:szCs w:val="18"/>
                <w:lang w:eastAsia="ja-JP"/>
              </w:rPr>
              <w:t>+</w:t>
            </w:r>
            <w:r>
              <w:rPr>
                <w:rFonts w:hint="default" w:eastAsia="宋体" w:cs="Arial"/>
                <w:szCs w:val="18"/>
                <w:lang w:val="en-US" w:eastAsia="zh-CN"/>
              </w:rPr>
              <w:t>8</w:t>
            </w:r>
          </w:p>
        </w:tc>
        <w:tc>
          <w:tcPr>
            <w:tcW w:w="1396" w:type="dxa"/>
            <w:vAlign w:val="center"/>
          </w:tcPr>
          <w:p w14:paraId="62806F34">
            <w:pPr>
              <w:pStyle w:val="38"/>
              <w:suppressLineNumbers w:val="0"/>
              <w:spacing w:before="0" w:beforeAutospacing="0" w:afterAutospacing="0"/>
              <w:ind w:left="0" w:right="0"/>
              <w:rPr>
                <w:rFonts w:hint="default"/>
                <w:szCs w:val="18"/>
                <w:lang w:eastAsia="ja-JP"/>
              </w:rPr>
            </w:pPr>
            <w:r>
              <w:rPr>
                <w:rFonts w:hint="default" w:eastAsia="宋体"/>
                <w:lang w:val="en-US" w:eastAsia="zh-CN"/>
              </w:rPr>
              <w:t>x (Note 2)</w:t>
            </w:r>
          </w:p>
        </w:tc>
        <w:tc>
          <w:tcPr>
            <w:tcW w:w="1299" w:type="dxa"/>
            <w:vAlign w:val="center"/>
          </w:tcPr>
          <w:p w14:paraId="31151320">
            <w:pPr>
              <w:pStyle w:val="38"/>
              <w:suppressLineNumbers w:val="0"/>
              <w:spacing w:before="0" w:beforeAutospacing="0" w:afterAutospacing="0"/>
              <w:ind w:left="0" w:right="0"/>
              <w:rPr>
                <w:rFonts w:hint="default"/>
                <w:lang w:eastAsia="ja-JP"/>
              </w:rPr>
            </w:pPr>
            <w:r>
              <w:rPr>
                <w:rFonts w:hint="default"/>
                <w:lang w:eastAsia="ja-JP"/>
              </w:rPr>
              <w:t>CW carrier</w:t>
            </w:r>
          </w:p>
        </w:tc>
      </w:tr>
      <w:tr w14:paraId="2DF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14:paraId="06A6939D">
            <w:pPr>
              <w:pStyle w:val="50"/>
              <w:suppressLineNumbers w:val="0"/>
              <w:spacing w:before="0" w:beforeAutospacing="0" w:afterAutospacing="0"/>
              <w:ind w:right="0"/>
              <w:rPr>
                <w:rFonts w:hint="default"/>
              </w:rPr>
            </w:pPr>
            <w:r>
              <w:rPr>
                <w:rFonts w:hint="default"/>
              </w:rPr>
              <w:t>N</w:t>
            </w:r>
            <w:r>
              <w:rPr>
                <w:rFonts w:hint="default" w:eastAsia="宋体"/>
                <w:lang w:val="en-US" w:eastAsia="zh-CN"/>
              </w:rPr>
              <w:t>OTE 1</w:t>
            </w:r>
            <w:r>
              <w:rPr>
                <w:rFonts w:hint="default"/>
              </w:rPr>
              <w:t>:</w:t>
            </w:r>
            <w:r>
              <w:rPr>
                <w:rFonts w:hint="default"/>
              </w:rPr>
              <w:tab/>
            </w:r>
            <w:r>
              <w:rPr>
                <w:rFonts w:hint="default"/>
              </w:rPr>
              <w:t>P</w:t>
            </w:r>
            <w:r>
              <w:rPr>
                <w:rFonts w:hint="default"/>
                <w:vertAlign w:val="subscript"/>
              </w:rPr>
              <w:t>REFSENS</w:t>
            </w:r>
            <w:r>
              <w:rPr>
                <w:rFonts w:hint="default"/>
              </w:rPr>
              <w:t xml:space="preserve"> depends on the </w:t>
            </w:r>
            <w:r>
              <w:rPr>
                <w:rFonts w:hint="default"/>
                <w:i/>
              </w:rPr>
              <w:t>BS channel bandwidth</w:t>
            </w:r>
            <w:r>
              <w:rPr>
                <w:rFonts w:hint="default"/>
              </w:rPr>
              <w:t xml:space="preserve"> as specified in Table 7.2.</w:t>
            </w:r>
            <w:r>
              <w:rPr>
                <w:rFonts w:hint="default"/>
                <w:lang w:eastAsia="zh-CN"/>
              </w:rPr>
              <w:t>2</w:t>
            </w:r>
            <w:r>
              <w:rPr>
                <w:rFonts w:hint="default"/>
              </w:rPr>
              <w:t>-1</w:t>
            </w:r>
            <w:r>
              <w:rPr>
                <w:rFonts w:hint="default"/>
                <w:lang w:eastAsia="zh-CN"/>
              </w:rPr>
              <w:t xml:space="preserve">, </w:t>
            </w:r>
            <w:r>
              <w:rPr>
                <w:rFonts w:hint="default" w:cs="v5.0.0"/>
                <w:lang w:eastAsia="zh-CN"/>
              </w:rPr>
              <w:t>7.2.2-2, and 7.2.2-3</w:t>
            </w:r>
            <w:r>
              <w:rPr>
                <w:rFonts w:hint="default"/>
              </w:rPr>
              <w:t>.</w:t>
            </w:r>
          </w:p>
          <w:p w14:paraId="6DF8D586">
            <w:pPr>
              <w:pStyle w:val="50"/>
              <w:suppressLineNumbers w:val="0"/>
              <w:spacing w:before="0" w:beforeAutospacing="0" w:afterAutospacing="0"/>
              <w:ind w:right="0"/>
              <w:rPr>
                <w:rFonts w:hint="default" w:eastAsia="宋体"/>
                <w:lang w:val="en-US" w:eastAsia="zh-CN"/>
              </w:rPr>
            </w:pPr>
            <w:r>
              <w:rPr>
                <w:rFonts w:hint="default" w:eastAsia="宋体"/>
                <w:lang w:val="en-US" w:eastAsia="zh-CN"/>
              </w:rPr>
              <w:t>NOTE 2:</w:t>
            </w:r>
            <w:r>
              <w:rPr>
                <w:rFonts w:hint="default" w:eastAsia="宋体"/>
                <w:lang w:val="en-US" w:eastAsia="zh-CN"/>
              </w:rPr>
              <w:tab/>
            </w:r>
            <w:r>
              <w:rPr>
                <w:rFonts w:hint="default" w:eastAsia="宋体"/>
                <w:lang w:val="en-US" w:eastAsia="zh-CN"/>
              </w:rPr>
              <w:t>x = -7 dBm for NR BS co-located with Pico GSM850 or Pico CDMA850</w:t>
            </w:r>
            <w:r>
              <w:rPr>
                <w:rFonts w:hint="default" w:eastAsia="宋体"/>
                <w:lang w:val="en-US" w:eastAsia="zh-CN"/>
              </w:rPr>
              <w:br w:type="textWrapping"/>
            </w:r>
            <w:r>
              <w:rPr>
                <w:rFonts w:hint="default" w:eastAsia="宋体"/>
                <w:lang w:val="en-US" w:eastAsia="zh-CN"/>
              </w:rPr>
              <w:t>x = -4 dBm for NR BS co-located with Pico DCS1800 or Pico PCS1900</w:t>
            </w:r>
            <w:r>
              <w:rPr>
                <w:rFonts w:hint="default" w:eastAsia="宋体"/>
                <w:lang w:val="en-US" w:eastAsia="zh-CN"/>
              </w:rPr>
              <w:br w:type="textWrapping"/>
            </w:r>
            <w:r>
              <w:rPr>
                <w:rFonts w:hint="default" w:eastAsia="宋体"/>
                <w:lang w:val="en-US" w:eastAsia="zh-CN"/>
              </w:rPr>
              <w:t>x = -6 dBm for NR BS co-located with UTRA bands or E-UTRA bands or NR bands</w:t>
            </w:r>
          </w:p>
          <w:p w14:paraId="1D91BF27">
            <w:pPr>
              <w:pStyle w:val="50"/>
              <w:suppressLineNumbers w:val="0"/>
              <w:spacing w:before="0" w:beforeAutospacing="0" w:afterAutospacing="0"/>
              <w:ind w:right="0"/>
              <w:rPr>
                <w:rFonts w:hint="default" w:eastAsia="宋体"/>
                <w:lang w:val="en-US" w:eastAsia="zh-CN"/>
              </w:rPr>
            </w:pPr>
            <w:r>
              <w:rPr>
                <w:rFonts w:hint="default"/>
                <w:lang w:eastAsia="ja-JP"/>
              </w:rPr>
              <w:t>NOTE 3:</w:t>
            </w:r>
            <w:r>
              <w:rPr>
                <w:rFonts w:hint="default"/>
                <w:lang w:eastAsia="ja-JP"/>
              </w:rPr>
              <w:tab/>
            </w:r>
            <w:r>
              <w:rPr>
                <w:rFonts w:hint="default"/>
                <w:lang w:eastAsia="ja-JP"/>
              </w:rPr>
              <w:t xml:space="preserve">The requirement does not apply when the interfering signal falls within any of the supported uplink </w:t>
            </w:r>
            <w:r>
              <w:rPr>
                <w:rFonts w:hint="default"/>
                <w:i/>
                <w:lang w:eastAsia="ja-JP"/>
              </w:rPr>
              <w:t>operating band(s)</w:t>
            </w:r>
            <w:r>
              <w:rPr>
                <w:rFonts w:hint="default"/>
                <w:lang w:eastAsia="ja-JP"/>
              </w:rPr>
              <w:t xml:space="preserve"> or in </w:t>
            </w:r>
            <w:r>
              <w:rPr>
                <w:rFonts w:hint="default"/>
              </w:rPr>
              <w:t>Δf</w:t>
            </w:r>
            <w:r>
              <w:rPr>
                <w:rFonts w:hint="default"/>
                <w:vertAlign w:val="subscript"/>
              </w:rPr>
              <w:t>OOB</w:t>
            </w:r>
            <w:r>
              <w:rPr>
                <w:rFonts w:hint="default"/>
                <w:lang w:eastAsia="ja-JP"/>
              </w:rPr>
              <w:t xml:space="preserve"> immediately outside any of the supported uplink </w:t>
            </w:r>
            <w:r>
              <w:rPr>
                <w:rFonts w:hint="default"/>
                <w:i/>
                <w:lang w:eastAsia="ja-JP"/>
              </w:rPr>
              <w:t>operating band(s)</w:t>
            </w:r>
            <w:r>
              <w:rPr>
                <w:rFonts w:hint="default"/>
                <w:lang w:eastAsia="ja-JP"/>
              </w:rPr>
              <w:t>.</w:t>
            </w:r>
          </w:p>
        </w:tc>
      </w:tr>
    </w:tbl>
    <w:p w14:paraId="43F475BA">
      <w:pPr>
        <w:tabs>
          <w:tab w:val="left" w:pos="2127"/>
        </w:tabs>
        <w:spacing w:after="0"/>
        <w:rPr>
          <w:rFonts w:hint="default"/>
          <w:highlight w:val="yellow"/>
          <w:lang w:val="en-US" w:eastAsia="zh-CN"/>
        </w:rPr>
      </w:pPr>
    </w:p>
    <w:p w14:paraId="297FCCC3">
      <w:pPr>
        <w:tabs>
          <w:tab w:val="left" w:pos="2127"/>
        </w:tabs>
        <w:spacing w:after="0"/>
        <w:rPr>
          <w:rFonts w:hint="eastAsia"/>
          <w:highlight w:val="none"/>
          <w:lang w:val="en-US" w:eastAsia="zh-CN"/>
        </w:rPr>
      </w:pPr>
      <w:r>
        <w:rPr>
          <w:rFonts w:hint="eastAsia"/>
          <w:highlight w:val="none"/>
          <w:lang w:val="en-US" w:eastAsia="zh-CN"/>
        </w:rPr>
        <w:t xml:space="preserve">The concept of co-location reference antenna is defined due to the measurement capability issue in the OTA chamber. E..g. -85dBm/MHz OFF power,  -96dBm/100KHz co-location spurious emission requirement is too low to be measured in the OTA chamber, using the alternative co-location reference antenna could help replace OTA measurement as the conducted interface measurement with much better measurement capability. </w:t>
      </w:r>
    </w:p>
    <w:p w14:paraId="6C642160">
      <w:pPr>
        <w:tabs>
          <w:tab w:val="left" w:pos="2127"/>
        </w:tabs>
        <w:spacing w:after="0"/>
        <w:rPr>
          <w:rFonts w:hint="eastAsia"/>
          <w:highlight w:val="none"/>
          <w:lang w:val="en-US" w:eastAsia="zh-CN"/>
        </w:rPr>
      </w:pPr>
      <w:r>
        <w:rPr>
          <w:rFonts w:hint="eastAsia"/>
          <w:highlight w:val="none"/>
          <w:lang w:val="en-US" w:eastAsia="zh-CN"/>
        </w:rPr>
        <w:t xml:space="preserve">For receiver OOBB requirement, to generate the CW signal with 46dBm/38dBm is also very challenging somehow, to use the co-location reference antenna could also alleviate the measurement risk. </w:t>
      </w:r>
    </w:p>
    <w:p w14:paraId="3F0F5EE5">
      <w:pPr>
        <w:tabs>
          <w:tab w:val="left" w:pos="2127"/>
        </w:tabs>
        <w:spacing w:after="0"/>
        <w:rPr>
          <w:rFonts w:hint="default"/>
          <w:highlight w:val="none"/>
          <w:lang w:val="en-US" w:eastAsia="zh-CN"/>
        </w:rPr>
      </w:pPr>
      <w:r>
        <w:rPr>
          <w:rFonts w:hint="eastAsia"/>
          <w:highlight w:val="none"/>
          <w:lang w:val="en-US" w:eastAsia="zh-CN"/>
        </w:rPr>
        <w:t xml:space="preserve">During the last RAN4 meeting, we have already agreed to consider the following requirement based on the MCL results, from our understanding, if we could focus on the MCL within single band analysis, then the transmitter OFF power and Tx IMD requirement should be treated as higher priority. </w:t>
      </w:r>
    </w:p>
    <w:p w14:paraId="70D355D6">
      <w:pPr>
        <w:pStyle w:val="48"/>
        <w:numPr>
          <w:ilvl w:val="0"/>
          <w:numId w:val="9"/>
        </w:numPr>
        <w:bidi w:val="0"/>
        <w:ind w:left="420" w:leftChars="0" w:hanging="420" w:firstLineChars="0"/>
        <w:rPr>
          <w:rFonts w:hint="default"/>
          <w:vertAlign w:val="baseline"/>
          <w:lang w:val="en-US" w:eastAsia="zh-CN"/>
        </w:rPr>
      </w:pPr>
      <w:r>
        <w:rPr>
          <w:rFonts w:hint="eastAsia"/>
          <w:vertAlign w:val="baseline"/>
          <w:lang w:val="en-US" w:eastAsia="zh-CN"/>
        </w:rPr>
        <w:t>Transmitter OFF power requirement</w:t>
      </w:r>
    </w:p>
    <w:p w14:paraId="58DD154E">
      <w:pPr>
        <w:pStyle w:val="48"/>
        <w:numPr>
          <w:ilvl w:val="0"/>
          <w:numId w:val="9"/>
        </w:numPr>
        <w:bidi w:val="0"/>
        <w:ind w:left="420" w:leftChars="0" w:hanging="420" w:firstLineChars="0"/>
        <w:rPr>
          <w:rFonts w:hint="default"/>
          <w:vertAlign w:val="baseline"/>
          <w:lang w:val="en-US" w:eastAsia="zh-CN"/>
        </w:rPr>
      </w:pPr>
      <w:r>
        <w:rPr>
          <w:rFonts w:hint="eastAsia"/>
          <w:vertAlign w:val="baseline"/>
          <w:lang w:val="en-US" w:eastAsia="zh-CN"/>
        </w:rPr>
        <w:t>Co-location spurious emission requirement/</w:t>
      </w:r>
      <w:r>
        <w:rPr>
          <w:rFonts w:hint="default"/>
          <w:vertAlign w:val="baseline"/>
          <w:lang w:val="en-US" w:eastAsia="zh-CN"/>
        </w:rPr>
        <w:t>Protection of the BS receiver of own or different BS</w:t>
      </w:r>
    </w:p>
    <w:p w14:paraId="6E86D1E4">
      <w:pPr>
        <w:pStyle w:val="48"/>
        <w:numPr>
          <w:ilvl w:val="0"/>
          <w:numId w:val="9"/>
        </w:numPr>
        <w:bidi w:val="0"/>
        <w:ind w:left="420" w:leftChars="0" w:hanging="420" w:firstLineChars="0"/>
        <w:rPr>
          <w:rFonts w:hint="eastAsia"/>
          <w:vertAlign w:val="baseline"/>
          <w:lang w:val="en-US" w:eastAsia="zh-CN"/>
        </w:rPr>
      </w:pPr>
      <w:r>
        <w:rPr>
          <w:rFonts w:hint="eastAsia"/>
          <w:vertAlign w:val="baseline"/>
          <w:lang w:val="en-US" w:eastAsia="zh-CN"/>
        </w:rPr>
        <w:t>Tx IMD requirement</w:t>
      </w:r>
    </w:p>
    <w:p w14:paraId="5FBAF283">
      <w:pPr>
        <w:pStyle w:val="48"/>
        <w:numPr>
          <w:ilvl w:val="0"/>
          <w:numId w:val="9"/>
        </w:numPr>
        <w:bidi w:val="0"/>
        <w:ind w:left="420" w:leftChars="0" w:hanging="420" w:firstLineChars="0"/>
        <w:rPr>
          <w:rFonts w:hint="default"/>
          <w:lang w:val="en-US" w:eastAsia="zh-CN"/>
        </w:rPr>
      </w:pPr>
      <w:r>
        <w:rPr>
          <w:rFonts w:hint="eastAsia"/>
          <w:vertAlign w:val="baseline"/>
          <w:lang w:val="en-US" w:eastAsia="zh-CN"/>
        </w:rPr>
        <w:t>Co-located OOBB requirement</w:t>
      </w:r>
    </w:p>
    <w:p w14:paraId="62584F04">
      <w:pPr>
        <w:pStyle w:val="48"/>
        <w:numPr>
          <w:ilvl w:val="0"/>
          <w:numId w:val="0"/>
        </w:numPr>
        <w:bidi w:val="0"/>
        <w:ind w:leftChars="0"/>
        <w:rPr>
          <w:rFonts w:hint="default"/>
          <w:lang w:val="en-US" w:eastAsia="zh-CN"/>
        </w:rPr>
      </w:pPr>
      <w:r>
        <w:rPr>
          <w:rFonts w:hint="eastAsia"/>
          <w:b/>
          <w:bCs/>
          <w:lang w:val="en-US" w:eastAsia="zh-CN"/>
        </w:rPr>
        <w:t>Proposal 1</w:t>
      </w:r>
      <w:r>
        <w:rPr>
          <w:rFonts w:hint="eastAsia"/>
          <w:lang w:val="en-US" w:eastAsia="zh-CN"/>
        </w:rPr>
        <w:t>: if RAN4 agrees to focus on the MCL analysis within the same band in Rel-19, propose to consider  Tx OFF power and Tx IMD requirement only.</w:t>
      </w:r>
    </w:p>
    <w:p w14:paraId="5B487DBA">
      <w:pPr>
        <w:pStyle w:val="3"/>
        <w:numPr>
          <w:ilvl w:val="1"/>
          <w:numId w:val="1"/>
        </w:numPr>
        <w:ind w:left="720" w:leftChars="0" w:hanging="720" w:firstLineChars="0"/>
        <w:rPr>
          <w:rFonts w:hint="eastAsia" w:cs="Times New Roman"/>
          <w:b w:val="0"/>
          <w:bCs w:val="0"/>
          <w:sz w:val="28"/>
          <w:szCs w:val="28"/>
          <w:lang w:val="en-US" w:eastAsia="zh-CN"/>
        </w:rPr>
      </w:pPr>
      <w:r>
        <w:rPr>
          <w:rFonts w:hint="eastAsia" w:cs="Times New Roman"/>
          <w:b w:val="0"/>
          <w:bCs w:val="0"/>
          <w:sz w:val="28"/>
          <w:szCs w:val="28"/>
          <w:lang w:val="en-US" w:eastAsia="zh-CN"/>
        </w:rPr>
        <w:t xml:space="preserve">.Difference between </w:t>
      </w:r>
      <w:r>
        <w:rPr>
          <w:rFonts w:hint="default" w:cs="Times New Roman"/>
          <w:b w:val="0"/>
          <w:bCs w:val="0"/>
          <w:sz w:val="28"/>
          <w:szCs w:val="28"/>
          <w:lang w:val="en-US" w:eastAsia="zh-CN"/>
        </w:rPr>
        <w:t>AAS BS vs AAS BS</w:t>
      </w:r>
      <w:r>
        <w:rPr>
          <w:rFonts w:hint="eastAsia" w:cs="Times New Roman"/>
          <w:b w:val="0"/>
          <w:bCs w:val="0"/>
          <w:sz w:val="28"/>
          <w:szCs w:val="28"/>
          <w:lang w:val="en-US" w:eastAsia="zh-CN"/>
        </w:rPr>
        <w:t xml:space="preserve"> and AAS vs co-location reference antenna</w:t>
      </w:r>
    </w:p>
    <w:p w14:paraId="41F098B8">
      <w:pPr>
        <w:tabs>
          <w:tab w:val="left" w:pos="2127"/>
        </w:tabs>
        <w:spacing w:after="0"/>
        <w:rPr>
          <w:rFonts w:hint="eastAsia"/>
          <w:lang w:val="en-US" w:eastAsia="zh-CN"/>
        </w:rPr>
      </w:pPr>
      <w:r>
        <w:rPr>
          <w:rFonts w:hint="eastAsia"/>
          <w:lang w:val="en-US" w:eastAsia="zh-CN"/>
        </w:rPr>
        <w:t xml:space="preserve">In the previous discussions, one of the critical issue is to identify the difference between AAS vs AAS BS and AAS vs co-location reference antenna. In the following section,we would like to provide the further analysis from both transmitter and receiver requirements perspective.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7"/>
        <w:gridCol w:w="2667"/>
        <w:gridCol w:w="1955"/>
        <w:gridCol w:w="1955"/>
      </w:tblGrid>
      <w:tr w14:paraId="3CD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blHeader/>
          <w:jc w:val="center"/>
        </w:trPr>
        <w:tc>
          <w:tcPr>
            <w:tcW w:w="2667" w:type="dxa"/>
          </w:tcPr>
          <w:p w14:paraId="28BDE96F">
            <w:pPr>
              <w:pStyle w:val="37"/>
              <w:suppressLineNumbers w:val="0"/>
              <w:spacing w:before="0" w:beforeAutospacing="0" w:afterAutospacing="0"/>
              <w:ind w:left="0" w:right="0"/>
              <w:rPr>
                <w:rFonts w:hint="default"/>
              </w:rPr>
            </w:pPr>
            <w:r>
              <w:rPr>
                <w:rFonts w:hint="default"/>
              </w:rPr>
              <w:t>Clause number</w:t>
            </w:r>
          </w:p>
        </w:tc>
        <w:tc>
          <w:tcPr>
            <w:tcW w:w="2667" w:type="dxa"/>
          </w:tcPr>
          <w:p w14:paraId="61A6FAD1">
            <w:pPr>
              <w:pStyle w:val="37"/>
              <w:suppressLineNumbers w:val="0"/>
              <w:spacing w:before="0" w:beforeAutospacing="0" w:afterAutospacing="0"/>
              <w:ind w:left="0" w:right="0"/>
              <w:rPr>
                <w:rFonts w:hint="default"/>
              </w:rPr>
            </w:pPr>
            <w:r>
              <w:rPr>
                <w:rFonts w:hint="default"/>
              </w:rPr>
              <w:t>Requirement</w:t>
            </w:r>
          </w:p>
        </w:tc>
        <w:tc>
          <w:tcPr>
            <w:tcW w:w="1955" w:type="dxa"/>
            <w:shd w:val="clear" w:color="auto" w:fill="auto"/>
          </w:tcPr>
          <w:p w14:paraId="1B84FD6C">
            <w:pPr>
              <w:pStyle w:val="37"/>
              <w:suppressLineNumbers w:val="0"/>
              <w:spacing w:before="0" w:beforeAutospacing="0" w:afterAutospacing="0"/>
              <w:ind w:left="0" w:right="0"/>
              <w:rPr>
                <w:rFonts w:hint="default"/>
              </w:rPr>
            </w:pPr>
            <w:r>
              <w:rPr>
                <w:rFonts w:hint="default"/>
              </w:rPr>
              <w:t>Co-location reference antenna operation</w:t>
            </w:r>
          </w:p>
        </w:tc>
        <w:tc>
          <w:tcPr>
            <w:tcW w:w="1955" w:type="dxa"/>
          </w:tcPr>
          <w:p w14:paraId="5A17890C">
            <w:pPr>
              <w:pStyle w:val="37"/>
              <w:suppressLineNumbers w:val="0"/>
              <w:spacing w:before="0" w:beforeAutospacing="0" w:afterAutospacing="0"/>
              <w:ind w:left="0" w:right="0"/>
              <w:rPr>
                <w:rFonts w:hint="default"/>
              </w:rPr>
            </w:pPr>
            <w:r>
              <w:rPr>
                <w:rFonts w:hint="default"/>
              </w:rPr>
              <w:t>Type</w:t>
            </w:r>
          </w:p>
        </w:tc>
      </w:tr>
      <w:tr w14:paraId="6FEE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single" w:color="auto" w:sz="4" w:space="0"/>
            </w:tcBorders>
          </w:tcPr>
          <w:p w14:paraId="5400ECC0">
            <w:pPr>
              <w:pStyle w:val="38"/>
              <w:suppressLineNumbers w:val="0"/>
              <w:spacing w:before="0" w:beforeAutospacing="0" w:afterAutospacing="0"/>
              <w:ind w:left="0" w:right="0"/>
              <w:rPr>
                <w:rFonts w:hint="default"/>
                <w:lang w:eastAsia="zh-CN"/>
              </w:rPr>
            </w:pPr>
            <w:r>
              <w:rPr>
                <w:rFonts w:hint="default"/>
                <w:lang w:eastAsia="zh-CN"/>
              </w:rPr>
              <w:t>6.5</w:t>
            </w:r>
          </w:p>
        </w:tc>
        <w:tc>
          <w:tcPr>
            <w:tcW w:w="2667" w:type="dxa"/>
          </w:tcPr>
          <w:p w14:paraId="3B5DC01A">
            <w:pPr>
              <w:pStyle w:val="38"/>
              <w:suppressLineNumbers w:val="0"/>
              <w:spacing w:before="0" w:beforeAutospacing="0" w:afterAutospacing="0"/>
              <w:ind w:left="0" w:right="0"/>
              <w:rPr>
                <w:rFonts w:hint="default"/>
                <w:lang w:eastAsia="zh-CN"/>
              </w:rPr>
            </w:pPr>
            <w:r>
              <w:rPr>
                <w:rFonts w:hint="default"/>
                <w:lang w:eastAsia="zh-CN"/>
              </w:rPr>
              <w:t>OTA transmit ON/OFF power for FR1</w:t>
            </w:r>
          </w:p>
        </w:tc>
        <w:tc>
          <w:tcPr>
            <w:tcW w:w="1955" w:type="dxa"/>
            <w:tcBorders>
              <w:bottom w:val="single" w:color="auto" w:sz="4" w:space="0"/>
            </w:tcBorders>
            <w:shd w:val="clear" w:color="auto" w:fill="auto"/>
          </w:tcPr>
          <w:p w14:paraId="136A5867">
            <w:pPr>
              <w:pStyle w:val="38"/>
              <w:suppressLineNumbers w:val="0"/>
              <w:spacing w:before="0" w:beforeAutospacing="0" w:afterAutospacing="0"/>
              <w:ind w:left="0" w:right="0"/>
              <w:rPr>
                <w:rFonts w:hint="default"/>
                <w:lang w:eastAsia="zh-CN"/>
              </w:rPr>
            </w:pPr>
            <w:r>
              <w:rPr>
                <w:rFonts w:hint="default"/>
                <w:lang w:eastAsia="zh-CN"/>
              </w:rPr>
              <w:t>Measure emission</w:t>
            </w:r>
          </w:p>
        </w:tc>
        <w:tc>
          <w:tcPr>
            <w:tcW w:w="1955" w:type="dxa"/>
            <w:tcBorders>
              <w:bottom w:val="single" w:color="auto" w:sz="4" w:space="0"/>
            </w:tcBorders>
          </w:tcPr>
          <w:p w14:paraId="275C81B5">
            <w:pPr>
              <w:pStyle w:val="38"/>
              <w:suppressLineNumbers w:val="0"/>
              <w:spacing w:before="0" w:beforeAutospacing="0" w:afterAutospacing="0"/>
              <w:ind w:left="0" w:right="0"/>
              <w:rPr>
                <w:rFonts w:hint="default"/>
                <w:lang w:eastAsia="zh-CN"/>
              </w:rPr>
            </w:pPr>
            <w:r>
              <w:rPr>
                <w:rFonts w:hint="default"/>
                <w:lang w:eastAsia="zh-CN"/>
              </w:rPr>
              <w:t>Mandatory</w:t>
            </w:r>
          </w:p>
        </w:tc>
      </w:tr>
      <w:tr w14:paraId="011A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bottom w:val="nil"/>
            </w:tcBorders>
            <w:shd w:val="clear" w:color="auto" w:fill="auto"/>
          </w:tcPr>
          <w:p w14:paraId="08E5D935">
            <w:pPr>
              <w:pStyle w:val="38"/>
              <w:suppressLineNumbers w:val="0"/>
              <w:spacing w:before="0" w:beforeAutospacing="0" w:afterAutospacing="0"/>
              <w:ind w:left="0" w:right="0"/>
              <w:rPr>
                <w:rFonts w:hint="default"/>
              </w:rPr>
            </w:pPr>
            <w:r>
              <w:rPr>
                <w:rFonts w:hint="default"/>
              </w:rPr>
              <w:t>6.7.5.3</w:t>
            </w:r>
          </w:p>
          <w:p w14:paraId="03AC3253">
            <w:pPr>
              <w:pStyle w:val="38"/>
              <w:suppressLineNumbers w:val="0"/>
              <w:spacing w:before="0" w:beforeAutospacing="0" w:afterAutospacing="0"/>
              <w:ind w:left="0" w:right="0"/>
              <w:rPr>
                <w:rFonts w:hint="default"/>
              </w:rPr>
            </w:pPr>
            <w:r>
              <w:rPr>
                <w:rFonts w:hint="default"/>
              </w:rPr>
              <w:t>6.7.5.5</w:t>
            </w:r>
          </w:p>
        </w:tc>
        <w:tc>
          <w:tcPr>
            <w:tcW w:w="2667" w:type="dxa"/>
          </w:tcPr>
          <w:p w14:paraId="72C2E0C3">
            <w:pPr>
              <w:pStyle w:val="38"/>
              <w:suppressLineNumbers w:val="0"/>
              <w:spacing w:before="0" w:beforeAutospacing="0" w:afterAutospacing="0"/>
              <w:ind w:left="0" w:right="0"/>
              <w:rPr>
                <w:rFonts w:hint="default"/>
              </w:rPr>
            </w:pPr>
            <w:r>
              <w:rPr>
                <w:rFonts w:hint="default"/>
              </w:rPr>
              <w:t>OTA spurious emission: Protection of the BS receiver of own or different BS</w:t>
            </w:r>
          </w:p>
        </w:tc>
        <w:tc>
          <w:tcPr>
            <w:tcW w:w="1955" w:type="dxa"/>
            <w:tcBorders>
              <w:bottom w:val="nil"/>
            </w:tcBorders>
            <w:shd w:val="clear" w:color="auto" w:fill="auto"/>
          </w:tcPr>
          <w:p w14:paraId="43C3F6EE">
            <w:pPr>
              <w:pStyle w:val="38"/>
              <w:suppressLineNumbers w:val="0"/>
              <w:spacing w:before="0" w:beforeAutospacing="0" w:afterAutospacing="0"/>
              <w:ind w:left="0" w:right="0"/>
              <w:rPr>
                <w:rFonts w:hint="default"/>
              </w:rPr>
            </w:pPr>
            <w:r>
              <w:rPr>
                <w:rFonts w:hint="default"/>
              </w:rPr>
              <w:t>Measure emission</w:t>
            </w:r>
          </w:p>
        </w:tc>
        <w:tc>
          <w:tcPr>
            <w:tcW w:w="1955" w:type="dxa"/>
            <w:tcBorders>
              <w:bottom w:val="nil"/>
            </w:tcBorders>
            <w:shd w:val="clear" w:color="auto" w:fill="auto"/>
          </w:tcPr>
          <w:p w14:paraId="34EC5B86">
            <w:pPr>
              <w:pStyle w:val="38"/>
              <w:suppressLineNumbers w:val="0"/>
              <w:spacing w:before="0" w:beforeAutospacing="0" w:afterAutospacing="0"/>
              <w:ind w:left="0" w:right="0"/>
              <w:rPr>
                <w:rFonts w:hint="default"/>
              </w:rPr>
            </w:pPr>
            <w:r>
              <w:rPr>
                <w:rFonts w:hint="default"/>
              </w:rPr>
              <w:t>Optional based on declaration</w:t>
            </w:r>
          </w:p>
        </w:tc>
      </w:tr>
      <w:tr w14:paraId="7086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Borders>
              <w:top w:val="nil"/>
            </w:tcBorders>
            <w:shd w:val="clear" w:color="auto" w:fill="auto"/>
          </w:tcPr>
          <w:p w14:paraId="3EE2BDD6">
            <w:pPr>
              <w:pStyle w:val="38"/>
              <w:suppressLineNumbers w:val="0"/>
              <w:spacing w:before="0" w:beforeAutospacing="0" w:afterAutospacing="0"/>
              <w:ind w:left="0" w:right="0"/>
              <w:rPr>
                <w:rFonts w:hint="default"/>
              </w:rPr>
            </w:pPr>
          </w:p>
        </w:tc>
        <w:tc>
          <w:tcPr>
            <w:tcW w:w="2667" w:type="dxa"/>
          </w:tcPr>
          <w:p w14:paraId="3F78E7CC">
            <w:pPr>
              <w:pStyle w:val="38"/>
              <w:suppressLineNumbers w:val="0"/>
              <w:spacing w:before="0" w:beforeAutospacing="0" w:afterAutospacing="0"/>
              <w:ind w:left="0" w:right="0"/>
              <w:rPr>
                <w:rFonts w:hint="default"/>
              </w:rPr>
            </w:pPr>
            <w:r>
              <w:rPr>
                <w:rFonts w:hint="default"/>
              </w:rPr>
              <w:t>OTA spurious emission: Co-location with other base stations</w:t>
            </w:r>
          </w:p>
        </w:tc>
        <w:tc>
          <w:tcPr>
            <w:tcW w:w="1955" w:type="dxa"/>
            <w:tcBorders>
              <w:top w:val="nil"/>
            </w:tcBorders>
            <w:shd w:val="clear" w:color="auto" w:fill="auto"/>
          </w:tcPr>
          <w:p w14:paraId="319EFC0D">
            <w:pPr>
              <w:pStyle w:val="38"/>
              <w:suppressLineNumbers w:val="0"/>
              <w:spacing w:before="0" w:beforeAutospacing="0" w:afterAutospacing="0"/>
              <w:ind w:left="0" w:right="0"/>
              <w:rPr>
                <w:rFonts w:hint="default"/>
              </w:rPr>
            </w:pPr>
          </w:p>
        </w:tc>
        <w:tc>
          <w:tcPr>
            <w:tcW w:w="1955" w:type="dxa"/>
            <w:tcBorders>
              <w:top w:val="nil"/>
            </w:tcBorders>
            <w:shd w:val="clear" w:color="auto" w:fill="auto"/>
          </w:tcPr>
          <w:p w14:paraId="328EB57E">
            <w:pPr>
              <w:pStyle w:val="38"/>
              <w:suppressLineNumbers w:val="0"/>
              <w:spacing w:before="0" w:beforeAutospacing="0" w:afterAutospacing="0"/>
              <w:ind w:left="0" w:right="0"/>
              <w:rPr>
                <w:rFonts w:hint="default"/>
              </w:rPr>
            </w:pPr>
          </w:p>
        </w:tc>
      </w:tr>
      <w:tr w14:paraId="4CF6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3306837B">
            <w:pPr>
              <w:pStyle w:val="38"/>
              <w:suppressLineNumbers w:val="0"/>
              <w:spacing w:before="0" w:beforeAutospacing="0" w:afterAutospacing="0"/>
              <w:ind w:left="0" w:right="0"/>
              <w:rPr>
                <w:rFonts w:hint="default"/>
              </w:rPr>
            </w:pPr>
            <w:r>
              <w:rPr>
                <w:rFonts w:hint="default"/>
              </w:rPr>
              <w:t>6.8</w:t>
            </w:r>
          </w:p>
        </w:tc>
        <w:tc>
          <w:tcPr>
            <w:tcW w:w="2667" w:type="dxa"/>
          </w:tcPr>
          <w:p w14:paraId="44725637">
            <w:pPr>
              <w:pStyle w:val="38"/>
              <w:suppressLineNumbers w:val="0"/>
              <w:spacing w:before="0" w:beforeAutospacing="0" w:afterAutospacing="0"/>
              <w:ind w:left="0" w:right="0"/>
              <w:rPr>
                <w:rFonts w:hint="default"/>
              </w:rPr>
            </w:pPr>
            <w:r>
              <w:rPr>
                <w:rFonts w:hint="default"/>
              </w:rPr>
              <w:t>OTA transmitter intermodulation</w:t>
            </w:r>
          </w:p>
        </w:tc>
        <w:tc>
          <w:tcPr>
            <w:tcW w:w="1955" w:type="dxa"/>
            <w:shd w:val="clear" w:color="auto" w:fill="auto"/>
          </w:tcPr>
          <w:p w14:paraId="661F9A6D">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6CDBDCC0">
            <w:pPr>
              <w:pStyle w:val="38"/>
              <w:suppressLineNumbers w:val="0"/>
              <w:spacing w:before="0" w:beforeAutospacing="0" w:afterAutospacing="0"/>
              <w:ind w:left="0" w:right="0"/>
              <w:rPr>
                <w:rFonts w:hint="default"/>
              </w:rPr>
            </w:pPr>
            <w:r>
              <w:rPr>
                <w:rFonts w:hint="default"/>
              </w:rPr>
              <w:t>Mandatory</w:t>
            </w:r>
          </w:p>
        </w:tc>
      </w:tr>
      <w:tr w14:paraId="0CE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67" w:type="dxa"/>
          </w:tcPr>
          <w:p w14:paraId="25F01945">
            <w:pPr>
              <w:pStyle w:val="38"/>
              <w:suppressLineNumbers w:val="0"/>
              <w:spacing w:before="0" w:beforeAutospacing="0" w:afterAutospacing="0"/>
              <w:ind w:left="0" w:right="0"/>
              <w:rPr>
                <w:rFonts w:hint="default"/>
              </w:rPr>
            </w:pPr>
            <w:r>
              <w:rPr>
                <w:rFonts w:hint="default"/>
              </w:rPr>
              <w:t>7.6.3</w:t>
            </w:r>
          </w:p>
        </w:tc>
        <w:tc>
          <w:tcPr>
            <w:tcW w:w="2667" w:type="dxa"/>
          </w:tcPr>
          <w:p w14:paraId="7A0E8AA1">
            <w:pPr>
              <w:pStyle w:val="38"/>
              <w:suppressLineNumbers w:val="0"/>
              <w:spacing w:before="0" w:beforeAutospacing="0" w:afterAutospacing="0"/>
              <w:ind w:left="0" w:right="0"/>
              <w:rPr>
                <w:rFonts w:hint="default"/>
              </w:rPr>
            </w:pPr>
            <w:r>
              <w:rPr>
                <w:rFonts w:hint="default"/>
              </w:rPr>
              <w:t>OTA out-of-band blocking: Co-location with other base stations</w:t>
            </w:r>
          </w:p>
        </w:tc>
        <w:tc>
          <w:tcPr>
            <w:tcW w:w="1955" w:type="dxa"/>
            <w:shd w:val="clear" w:color="auto" w:fill="auto"/>
          </w:tcPr>
          <w:p w14:paraId="5B5EF4CF">
            <w:pPr>
              <w:pStyle w:val="38"/>
              <w:suppressLineNumbers w:val="0"/>
              <w:spacing w:before="0" w:beforeAutospacing="0" w:afterAutospacing="0"/>
              <w:ind w:left="0" w:right="0"/>
              <w:rPr>
                <w:rFonts w:hint="default"/>
              </w:rPr>
            </w:pPr>
            <w:r>
              <w:rPr>
                <w:rFonts w:hint="default"/>
              </w:rPr>
              <w:t>Inject the interferer signal</w:t>
            </w:r>
          </w:p>
        </w:tc>
        <w:tc>
          <w:tcPr>
            <w:tcW w:w="1955" w:type="dxa"/>
          </w:tcPr>
          <w:p w14:paraId="2725AD2C">
            <w:pPr>
              <w:pStyle w:val="38"/>
              <w:suppressLineNumbers w:val="0"/>
              <w:spacing w:before="0" w:beforeAutospacing="0" w:afterAutospacing="0"/>
              <w:ind w:left="0" w:right="0"/>
              <w:rPr>
                <w:rFonts w:hint="default"/>
              </w:rPr>
            </w:pPr>
            <w:r>
              <w:rPr>
                <w:rFonts w:hint="default"/>
              </w:rPr>
              <w:t>Optional based on declaration</w:t>
            </w:r>
          </w:p>
        </w:tc>
      </w:tr>
    </w:tbl>
    <w:p w14:paraId="6C117B8F">
      <w:pPr>
        <w:rPr>
          <w:rFonts w:hint="default"/>
          <w:lang w:val="en-US" w:eastAsia="zh-CN"/>
        </w:rPr>
      </w:pPr>
      <w:r>
        <w:rPr>
          <w:rFonts w:hint="default"/>
          <w:lang w:val="en-US" w:eastAsia="zh-CN"/>
        </w:rPr>
        <w:br w:type="page"/>
      </w:r>
    </w:p>
    <w:p w14:paraId="0C9E6E3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992755" cy="2526030"/>
            <wp:effectExtent l="0" t="0" r="17145"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a:stretch>
                      <a:fillRect/>
                    </a:stretch>
                  </pic:blipFill>
                  <pic:spPr>
                    <a:xfrm>
                      <a:off x="0" y="0"/>
                      <a:ext cx="2992755" cy="2526030"/>
                    </a:xfrm>
                    <a:prstGeom prst="rect">
                      <a:avLst/>
                    </a:prstGeom>
                    <a:noFill/>
                    <a:ln w="9525">
                      <a:noFill/>
                    </a:ln>
                  </pic:spPr>
                </pic:pic>
              </a:graphicData>
            </a:graphic>
          </wp:inline>
        </w:drawing>
      </w:r>
    </w:p>
    <w:p w14:paraId="64284702">
      <w:pPr>
        <w:tabs>
          <w:tab w:val="left" w:pos="2127"/>
        </w:tabs>
        <w:spacing w:after="0"/>
        <w:jc w:val="center"/>
        <w:rPr>
          <w:rFonts w:hint="default"/>
          <w:lang w:val="en-US" w:eastAsia="zh-CN"/>
        </w:rPr>
      </w:pPr>
      <w:r>
        <w:rPr>
          <w:rFonts w:hint="eastAsia"/>
          <w:lang w:val="en-US" w:eastAsia="zh-CN"/>
        </w:rPr>
        <w:t>Figure 2.3-1. the legacy co-location reference antenna for OFF power and spurious emission requirement</w:t>
      </w:r>
    </w:p>
    <w:p w14:paraId="046ECBCF">
      <w:pPr>
        <w:tabs>
          <w:tab w:val="left" w:pos="2127"/>
        </w:tabs>
        <w:spacing w:after="0"/>
        <w:jc w:val="both"/>
        <w:rPr>
          <w:rFonts w:hint="default"/>
          <w:lang w:val="en-US" w:eastAsia="zh-CN"/>
        </w:rPr>
      </w:pPr>
      <w:r>
        <w:rPr>
          <w:rFonts w:hint="eastAsia"/>
          <w:lang w:val="en-US" w:eastAsia="zh-CN"/>
        </w:rPr>
        <w:t>For the legacy co-location reference antenna, the received power at co-location reference antenna output should be Ptx+G_Tx-Coupling_loss+G_Rx_CLTA.</w:t>
      </w:r>
    </w:p>
    <w:p w14:paraId="617D2EF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58030" cy="2355850"/>
            <wp:effectExtent l="0" t="0" r="13970" b="635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4"/>
                    <a:stretch>
                      <a:fillRect/>
                    </a:stretch>
                  </pic:blipFill>
                  <pic:spPr>
                    <a:xfrm>
                      <a:off x="0" y="0"/>
                      <a:ext cx="4558030" cy="2355850"/>
                    </a:xfrm>
                    <a:prstGeom prst="rect">
                      <a:avLst/>
                    </a:prstGeom>
                    <a:noFill/>
                    <a:ln w="9525">
                      <a:noFill/>
                    </a:ln>
                  </pic:spPr>
                </pic:pic>
              </a:graphicData>
            </a:graphic>
          </wp:inline>
        </w:drawing>
      </w:r>
    </w:p>
    <w:p w14:paraId="44AB07EB">
      <w:pPr>
        <w:tabs>
          <w:tab w:val="left" w:pos="2127"/>
        </w:tabs>
        <w:spacing w:after="0"/>
        <w:jc w:val="center"/>
        <w:rPr>
          <w:rFonts w:hint="default"/>
          <w:lang w:val="en-US" w:eastAsia="zh-CN"/>
        </w:rPr>
      </w:pPr>
      <w:r>
        <w:rPr>
          <w:rFonts w:hint="eastAsia"/>
          <w:lang w:val="en-US" w:eastAsia="zh-CN"/>
        </w:rPr>
        <w:t>Figure 2.3-2. the proposed new co-location reference antenna for OFF power and spurious emission requirement</w:t>
      </w:r>
    </w:p>
    <w:p w14:paraId="2813A8D7">
      <w:pPr>
        <w:tabs>
          <w:tab w:val="left" w:pos="2127"/>
        </w:tabs>
        <w:spacing w:after="0"/>
        <w:jc w:val="both"/>
        <w:rPr>
          <w:rFonts w:hint="eastAsia"/>
          <w:lang w:val="en-US" w:eastAsia="zh-CN"/>
        </w:rPr>
      </w:pPr>
      <w:r>
        <w:rPr>
          <w:rFonts w:hint="eastAsia"/>
          <w:lang w:val="en-US" w:eastAsia="zh-CN"/>
        </w:rPr>
        <w:t xml:space="preserve">For the proposed new co-location reference antenna for FR1 high bands, received power at co-location reference antenna output should be Ptx+G_Tx-Coupling_loss+G_Rx_sub-array. </w:t>
      </w:r>
    </w:p>
    <w:p w14:paraId="2A87C09E">
      <w:pPr>
        <w:tabs>
          <w:tab w:val="left" w:pos="2127"/>
        </w:tabs>
        <w:spacing w:after="0"/>
        <w:jc w:val="both"/>
        <w:rPr>
          <w:rFonts w:hint="eastAsia"/>
          <w:lang w:val="en-US" w:eastAsia="zh-CN"/>
        </w:rPr>
      </w:pPr>
      <w:r>
        <w:rPr>
          <w:rFonts w:hint="eastAsia"/>
          <w:lang w:val="en-US" w:eastAsia="zh-CN"/>
        </w:rPr>
        <w:t xml:space="preserve">The main difference for OFF power and spurious emission measurement would be G_Rx_CLTA and G_Rx_sub-array pattern. These two received gain for passive antenna of CLTA and AAS sub-array would be quite different. In other words, the measured spurious emission or transmitter OFF power from CLTA cannot be representative for AAS BS co-locating with AAS BS at sub-array level. </w:t>
      </w:r>
    </w:p>
    <w:p w14:paraId="675F0687">
      <w:pPr>
        <w:tabs>
          <w:tab w:val="left" w:pos="2127"/>
        </w:tabs>
        <w:spacing w:after="0"/>
        <w:jc w:val="both"/>
        <w:rPr>
          <w:rFonts w:hint="default"/>
          <w:lang w:val="en-US" w:eastAsia="zh-CN"/>
        </w:rPr>
      </w:pPr>
      <w:r>
        <w:rPr>
          <w:rFonts w:hint="eastAsia"/>
          <w:b/>
          <w:bCs/>
          <w:lang w:val="en-US" w:eastAsia="zh-CN"/>
        </w:rPr>
        <w:t>Observation 3</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21EF80BD">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00450" cy="3038475"/>
            <wp:effectExtent l="0" t="0" r="0" b="9525"/>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5"/>
                    <a:stretch>
                      <a:fillRect/>
                    </a:stretch>
                  </pic:blipFill>
                  <pic:spPr>
                    <a:xfrm>
                      <a:off x="0" y="0"/>
                      <a:ext cx="3600450" cy="3038475"/>
                    </a:xfrm>
                    <a:prstGeom prst="rect">
                      <a:avLst/>
                    </a:prstGeom>
                    <a:noFill/>
                    <a:ln w="9525">
                      <a:noFill/>
                    </a:ln>
                  </pic:spPr>
                </pic:pic>
              </a:graphicData>
            </a:graphic>
          </wp:inline>
        </w:drawing>
      </w:r>
    </w:p>
    <w:p w14:paraId="64ED6EB6">
      <w:pPr>
        <w:tabs>
          <w:tab w:val="left" w:pos="2127"/>
        </w:tabs>
        <w:spacing w:after="0"/>
        <w:jc w:val="center"/>
        <w:rPr>
          <w:rFonts w:hint="eastAsia"/>
          <w:lang w:val="en-US" w:eastAsia="zh-CN"/>
        </w:rPr>
      </w:pPr>
      <w:r>
        <w:rPr>
          <w:rFonts w:hint="eastAsia"/>
          <w:lang w:val="en-US" w:eastAsia="zh-CN"/>
        </w:rPr>
        <w:t>Figure 2.3-3. the legacy co-location reference antenna for Tx intermodulation and co-location OOBB requirement</w:t>
      </w:r>
    </w:p>
    <w:p w14:paraId="007C9C72">
      <w:pPr>
        <w:tabs>
          <w:tab w:val="left" w:pos="2127"/>
        </w:tabs>
        <w:spacing w:after="0"/>
        <w:jc w:val="both"/>
        <w:rPr>
          <w:rFonts w:hint="default"/>
          <w:lang w:val="en-US" w:eastAsia="zh-CN"/>
        </w:rPr>
      </w:pPr>
      <w:r>
        <w:rPr>
          <w:rFonts w:hint="eastAsia"/>
          <w:lang w:val="en-US" w:eastAsia="zh-CN"/>
        </w:rPr>
        <w:t>For the legacy co-location reference antenna, the received power at sub-array of AAS BS should be Ptx+G_Tx_CLTA -Coupling_loss+G_Rx_sub_array</w:t>
      </w:r>
    </w:p>
    <w:p w14:paraId="0980DC4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65600" cy="2153285"/>
            <wp:effectExtent l="0" t="0" r="6350" b="184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6"/>
                    <a:stretch>
                      <a:fillRect/>
                    </a:stretch>
                  </pic:blipFill>
                  <pic:spPr>
                    <a:xfrm>
                      <a:off x="0" y="0"/>
                      <a:ext cx="4165600" cy="2153285"/>
                    </a:xfrm>
                    <a:prstGeom prst="rect">
                      <a:avLst/>
                    </a:prstGeom>
                    <a:noFill/>
                    <a:ln w="9525">
                      <a:noFill/>
                    </a:ln>
                  </pic:spPr>
                </pic:pic>
              </a:graphicData>
            </a:graphic>
          </wp:inline>
        </w:drawing>
      </w:r>
    </w:p>
    <w:p w14:paraId="069C25BC">
      <w:pPr>
        <w:tabs>
          <w:tab w:val="left" w:pos="2127"/>
        </w:tabs>
        <w:spacing w:after="0"/>
        <w:jc w:val="center"/>
        <w:rPr>
          <w:rFonts w:hint="eastAsia"/>
          <w:lang w:val="en-US" w:eastAsia="zh-CN"/>
        </w:rPr>
      </w:pPr>
      <w:r>
        <w:rPr>
          <w:rFonts w:hint="eastAsia"/>
          <w:lang w:val="en-US" w:eastAsia="zh-CN"/>
        </w:rPr>
        <w:t>Figure 2.3-4 the proposed new co-location reference antenna for Tx intermodulation and co-location OOBB requirement</w:t>
      </w:r>
    </w:p>
    <w:p w14:paraId="1FE91F3B">
      <w:pPr>
        <w:tabs>
          <w:tab w:val="left" w:pos="2127"/>
        </w:tabs>
        <w:spacing w:after="0"/>
        <w:jc w:val="center"/>
        <w:rPr>
          <w:rFonts w:hint="eastAsia"/>
          <w:lang w:val="en-US" w:eastAsia="zh-CN"/>
        </w:rPr>
      </w:pPr>
    </w:p>
    <w:p w14:paraId="2F6947BA">
      <w:pPr>
        <w:tabs>
          <w:tab w:val="left" w:pos="2127"/>
        </w:tabs>
        <w:spacing w:after="0"/>
        <w:jc w:val="both"/>
        <w:rPr>
          <w:rFonts w:hint="default"/>
          <w:lang w:val="en-US" w:eastAsia="zh-CN"/>
        </w:rPr>
      </w:pPr>
      <w:r>
        <w:rPr>
          <w:rFonts w:hint="eastAsia"/>
          <w:lang w:val="en-US" w:eastAsia="zh-CN"/>
        </w:rPr>
        <w:t xml:space="preserve">For the proposed new co-location reference antenna for FR1 high bands, received power at sub-array of AAS BS should be Ptx+G_Tx_AAS -Coupling_loss+G_Rx_sub_array. </w:t>
      </w:r>
    </w:p>
    <w:p w14:paraId="4F4529EC">
      <w:pPr>
        <w:tabs>
          <w:tab w:val="left" w:pos="2127"/>
        </w:tabs>
        <w:spacing w:after="0"/>
        <w:jc w:val="both"/>
        <w:rPr>
          <w:rFonts w:hint="default"/>
          <w:lang w:val="en-US" w:eastAsia="zh-CN"/>
        </w:rPr>
      </w:pPr>
      <w:r>
        <w:rPr>
          <w:rFonts w:hint="eastAsia"/>
          <w:lang w:val="en-US" w:eastAsia="zh-CN"/>
        </w:rPr>
        <w:t xml:space="preserve">The main difference for Tx intermodulation and co-location reference antenna would be G_Tx_CLTA and G_Tx_AAS antenna pattern. These two passive antenna and AAS BS pattern would be quite different. G_Tx_CLTA should provide much more stringent requirement for it since it provides the much wider beam in azimuth plane towards the victim AAS BS with narrow beam. In other words, from Tx intermodulation and co-location OOBB requirement, it seems that the legacy CLTA requirement would provide more stringent conformance testing for it. </w:t>
      </w:r>
    </w:p>
    <w:p w14:paraId="3BE0B943">
      <w:pPr>
        <w:tabs>
          <w:tab w:val="left" w:pos="2127"/>
        </w:tabs>
        <w:spacing w:after="0"/>
        <w:jc w:val="both"/>
        <w:rPr>
          <w:rFonts w:hint="default"/>
          <w:lang w:val="en-US" w:eastAsia="zh-CN"/>
        </w:rPr>
      </w:pPr>
      <w:r>
        <w:rPr>
          <w:rFonts w:hint="eastAsia"/>
          <w:b/>
          <w:bCs/>
          <w:lang w:val="en-US" w:eastAsia="zh-CN"/>
        </w:rPr>
        <w:t>Observation 4</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bookmarkEnd w:id="1"/>
    <w:bookmarkEnd w:id="2"/>
    <w:bookmarkEnd w:id="3"/>
    <w:bookmarkEnd w:id="4"/>
    <w:p w14:paraId="57A50220">
      <w:pPr>
        <w:pStyle w:val="57"/>
        <w:tabs>
          <w:tab w:val="left" w:pos="567"/>
          <w:tab w:val="clear" w:pos="1985"/>
        </w:tabs>
        <w:adjustRightInd w:val="0"/>
        <w:ind w:left="510" w:hanging="510"/>
      </w:pPr>
      <w:r>
        <w:t>Conclusions</w:t>
      </w:r>
    </w:p>
    <w:p w14:paraId="73E4E308">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co-location reference antenna concept in RAN4 and proposals are made as following: </w:t>
      </w:r>
    </w:p>
    <w:p w14:paraId="1690A15F">
      <w:pPr>
        <w:tabs>
          <w:tab w:val="left" w:pos="2127"/>
        </w:tabs>
        <w:spacing w:after="0"/>
        <w:rPr>
          <w:rFonts w:hint="eastAsia"/>
          <w:lang w:val="en-US" w:eastAsia="zh-CN"/>
        </w:rPr>
      </w:pPr>
      <w:r>
        <w:rPr>
          <w:rFonts w:hint="eastAsia"/>
          <w:b/>
          <w:bCs/>
          <w:lang w:val="en-US" w:eastAsia="zh-CN"/>
        </w:rPr>
        <w:t>Observation 1</w:t>
      </w:r>
      <w:r>
        <w:rPr>
          <w:rFonts w:hint="eastAsia"/>
          <w:lang w:val="en-US" w:eastAsia="zh-CN"/>
        </w:rPr>
        <w:t>:if two NR AAS BS are placed with vertical separation which is quite typical for the mast installation, then the coupling loss between sub-array would be larger than 50dB with10cm separation distance.</w:t>
      </w:r>
    </w:p>
    <w:p w14:paraId="276D678D">
      <w:pPr>
        <w:tabs>
          <w:tab w:val="left" w:pos="2127"/>
        </w:tabs>
        <w:spacing w:after="0"/>
        <w:rPr>
          <w:rFonts w:hint="eastAsia"/>
          <w:lang w:val="en-US" w:eastAsia="zh-CN"/>
        </w:rPr>
      </w:pPr>
      <w:r>
        <w:rPr>
          <w:rFonts w:hint="eastAsia"/>
          <w:b/>
          <w:bCs/>
          <w:lang w:val="en-US" w:eastAsia="zh-CN"/>
        </w:rPr>
        <w:t>Observation 2</w:t>
      </w:r>
      <w:r>
        <w:rPr>
          <w:rFonts w:hint="eastAsia"/>
          <w:lang w:val="en-US" w:eastAsia="zh-CN"/>
        </w:rPr>
        <w:t>: if two NR BS are placed with horizontal separation which is typical for roof based installation, the coupling loss is still larger than 30dBc and the coupling loss among different antenna ports are varying from 31dB to 46dBc.</w:t>
      </w:r>
    </w:p>
    <w:p w14:paraId="4AF946AF">
      <w:pPr>
        <w:pStyle w:val="48"/>
        <w:numPr>
          <w:ilvl w:val="0"/>
          <w:numId w:val="0"/>
        </w:numPr>
        <w:bidi w:val="0"/>
        <w:ind w:leftChars="0"/>
        <w:rPr>
          <w:rFonts w:hint="default"/>
          <w:lang w:val="en-US" w:eastAsia="zh-CN"/>
        </w:rPr>
      </w:pPr>
      <w:r>
        <w:rPr>
          <w:rFonts w:hint="eastAsia"/>
          <w:b/>
          <w:bCs/>
          <w:lang w:val="en-US" w:eastAsia="zh-CN"/>
        </w:rPr>
        <w:t>Proposal 1:</w:t>
      </w:r>
      <w:r>
        <w:rPr>
          <w:rFonts w:hint="eastAsia"/>
          <w:lang w:val="en-US" w:eastAsia="zh-CN"/>
        </w:rPr>
        <w:t xml:space="preserve"> if RAN4 agrees to focus on the MCL analysis within the same band in Rel-19, propose to consider  Tx OFF power and Tx IMD requirement only.</w:t>
      </w:r>
    </w:p>
    <w:p w14:paraId="2250D7A7">
      <w:pPr>
        <w:tabs>
          <w:tab w:val="left" w:pos="2127"/>
        </w:tabs>
        <w:spacing w:after="0"/>
        <w:jc w:val="both"/>
        <w:rPr>
          <w:rFonts w:hint="eastAsia" w:eastAsiaTheme="minorEastAsia"/>
          <w:lang w:val="en-US" w:eastAsia="zh-CN"/>
        </w:rPr>
      </w:pPr>
      <w:r>
        <w:rPr>
          <w:rFonts w:hint="eastAsia"/>
          <w:b/>
          <w:bCs/>
          <w:lang w:val="en-US" w:eastAsia="zh-CN"/>
        </w:rPr>
        <w:t>Observation 3</w:t>
      </w:r>
      <w:r>
        <w:rPr>
          <w:rFonts w:hint="eastAsia"/>
          <w:lang w:val="en-US" w:eastAsia="zh-CN"/>
        </w:rPr>
        <w:t xml:space="preserve">: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169D5937">
      <w:pPr>
        <w:tabs>
          <w:tab w:val="left" w:pos="2127"/>
        </w:tabs>
        <w:spacing w:after="0"/>
        <w:jc w:val="both"/>
        <w:rPr>
          <w:rFonts w:hint="eastAsia" w:eastAsiaTheme="minorEastAsia"/>
          <w:lang w:val="en-US" w:eastAsia="zh-CN"/>
        </w:rPr>
      </w:pPr>
      <w:r>
        <w:rPr>
          <w:rFonts w:hint="eastAsia"/>
          <w:b/>
          <w:bCs/>
          <w:lang w:val="en-US" w:eastAsia="zh-CN"/>
        </w:rPr>
        <w:t>Observation 4</w:t>
      </w:r>
      <w:r>
        <w:rPr>
          <w:rFonts w:hint="eastAsia"/>
          <w:lang w:val="en-US" w:eastAsia="zh-CN"/>
        </w:rPr>
        <w:t xml:space="preserve">: These two passive antenna and AAS BS pattern would be quite different, from Tx intermodulation and co-location OOBB requirement, it seems that the legacy CLTA requirement would provide more stringent conformance testing for it. </w:t>
      </w:r>
    </w:p>
    <w:p w14:paraId="0D9EEAE9">
      <w:pPr>
        <w:pStyle w:val="57"/>
        <w:tabs>
          <w:tab w:val="left" w:pos="567"/>
          <w:tab w:val="clear" w:pos="1985"/>
        </w:tabs>
        <w:adjustRightInd w:val="0"/>
        <w:ind w:left="510" w:hanging="510"/>
      </w:pPr>
      <w:r>
        <w:t>References</w:t>
      </w:r>
    </w:p>
    <w:p w14:paraId="2D08359B">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14:paraId="059DB969">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rPr>
        <w:fldChar w:fldCharType="begin"/>
      </w:r>
      <w:r>
        <w:rPr>
          <w:rFonts w:hint="eastAsia"/>
          <w:sz w:val="20"/>
          <w:szCs w:val="20"/>
        </w:rPr>
        <w:instrText xml:space="preserve"> HYPERLINK "https://www.3gpp.org/ftp/TSG_RAN/WG4_Radio/TSGR4_109/Docs/R4-2319398.zip" \t "https://portal.3gpp.org/ngppapp/_blank" </w:instrText>
      </w:r>
      <w:r>
        <w:rPr>
          <w:rFonts w:hint="eastAsia"/>
          <w:sz w:val="20"/>
          <w:szCs w:val="20"/>
        </w:rPr>
        <w:fldChar w:fldCharType="separate"/>
      </w:r>
      <w:r>
        <w:rPr>
          <w:rFonts w:hint="default"/>
          <w:sz w:val="20"/>
          <w:szCs w:val="20"/>
        </w:rPr>
        <w:t>R4-2319398</w:t>
      </w:r>
      <w:r>
        <w:rPr>
          <w:rFonts w:hint="default"/>
          <w:sz w:val="20"/>
          <w:szCs w:val="20"/>
        </w:rPr>
        <w:fldChar w:fldCharType="end"/>
      </w:r>
      <w:r>
        <w:rPr>
          <w:rFonts w:hint="eastAsia"/>
          <w:sz w:val="20"/>
          <w:szCs w:val="20"/>
          <w:lang w:val="en-US" w:eastAsia="zh-CN"/>
        </w:rPr>
        <w:t xml:space="preserve">, </w:t>
      </w:r>
      <w:r>
        <w:rPr>
          <w:rFonts w:hint="eastAsia"/>
          <w:sz w:val="20"/>
          <w:szCs w:val="20"/>
        </w:rPr>
        <w:t>Background and technical challenges with BS RF co-location requirements in relation to development of NCR RF co-location requirements</w:t>
      </w:r>
      <w:r>
        <w:rPr>
          <w:rFonts w:hint="eastAsia"/>
          <w:sz w:val="20"/>
          <w:szCs w:val="20"/>
          <w:lang w:val="en-US" w:eastAsia="zh-CN"/>
        </w:rPr>
        <w:t>, Ericsson, Noted</w:t>
      </w:r>
    </w:p>
    <w:p w14:paraId="7CC3EE6C">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rPr>
      </w:pPr>
      <w:r>
        <w:rPr>
          <w:rFonts w:hint="default"/>
          <w:sz w:val="20"/>
          <w:szCs w:val="20"/>
          <w:lang w:val="en-US" w:eastAsia="en-US"/>
        </w:rPr>
        <w:t>R4-1703389, “On BS to BS co-location/co-siting background”, Ericsson</w:t>
      </w:r>
    </w:p>
    <w:p w14:paraId="1C5F67B8">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en-US"/>
        </w:rPr>
        <w:t>R4-1706766</w:t>
      </w:r>
      <w:r>
        <w:rPr>
          <w:rFonts w:hint="eastAsia"/>
          <w:sz w:val="20"/>
          <w:szCs w:val="20"/>
          <w:lang w:val="en-US" w:eastAsia="zh-CN"/>
        </w:rPr>
        <w:t>,</w:t>
      </w:r>
      <w:bookmarkStart w:id="8" w:name="OLE_LINK1"/>
      <w:r>
        <w:rPr>
          <w:rFonts w:hint="eastAsia"/>
          <w:sz w:val="20"/>
          <w:szCs w:val="20"/>
          <w:lang w:val="en-US" w:eastAsia="en-US"/>
        </w:rPr>
        <w:t>Co-location isolation between different frequency bands</w:t>
      </w:r>
      <w:bookmarkEnd w:id="8"/>
      <w:r>
        <w:rPr>
          <w:rFonts w:hint="eastAsia"/>
          <w:sz w:val="20"/>
          <w:szCs w:val="20"/>
          <w:lang w:val="en-US" w:eastAsia="zh-CN"/>
        </w:rPr>
        <w:t>, Ericsson, Noted</w:t>
      </w:r>
    </w:p>
    <w:p w14:paraId="726B4045">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b w:val="0"/>
          <w:sz w:val="20"/>
          <w:szCs w:val="20"/>
        </w:rPr>
        <w:t>R4-2406088</w:t>
      </w:r>
      <w:r>
        <w:rPr>
          <w:rFonts w:hint="eastAsia" w:ascii="Times New Roman" w:hAnsi="Times New Roman"/>
          <w:b w:val="0"/>
          <w:sz w:val="20"/>
          <w:szCs w:val="20"/>
          <w:lang w:val="en-US" w:eastAsia="zh-CN"/>
        </w:rPr>
        <w:t>,</w:t>
      </w:r>
      <w:r>
        <w:rPr>
          <w:rFonts w:hint="eastAsia" w:ascii="Times New Roman" w:hAnsi="Times New Roman"/>
          <w:b w:val="0"/>
          <w:sz w:val="20"/>
          <w:szCs w:val="20"/>
        </w:rPr>
        <w:t>Way Forward for [110bis][311] NR_BS_RF</w:t>
      </w:r>
      <w:r>
        <w:rPr>
          <w:rFonts w:hint="eastAsia" w:ascii="Times New Roman" w:hAnsi="Times New Roman"/>
          <w:b w:val="0"/>
          <w:sz w:val="20"/>
          <w:szCs w:val="20"/>
          <w:lang w:val="en-US" w:eastAsia="zh-CN"/>
        </w:rPr>
        <w:t>, ZTE, approved.</w:t>
      </w:r>
    </w:p>
    <w:p w14:paraId="1748F924">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"https://www.3gpp.org/ftp/TSG_RAN/WG4_Radio/TSGR4_110bis/Docs/R4-2404259.zip" </w:instrText>
      </w:r>
      <w:r>
        <w:rPr>
          <w:rFonts w:hint="default"/>
          <w:sz w:val="20"/>
          <w:szCs w:val="20"/>
          <w:lang w:val="en-US" w:eastAsia="zh-CN"/>
        </w:rPr>
        <w:fldChar w:fldCharType="separate"/>
      </w:r>
      <w:r>
        <w:rPr>
          <w:rFonts w:hint="default"/>
          <w:sz w:val="20"/>
          <w:szCs w:val="20"/>
          <w:lang w:val="en-US" w:eastAsia="en-US"/>
        </w:rPr>
        <w:t>R4-2404259</w:t>
      </w:r>
      <w:r>
        <w:rPr>
          <w:rFonts w:hint="default"/>
          <w:sz w:val="20"/>
          <w:szCs w:val="20"/>
          <w:lang w:val="en-US" w:eastAsia="zh-CN"/>
        </w:rPr>
        <w:fldChar w:fldCharType="end"/>
      </w:r>
      <w:r>
        <w:rPr>
          <w:rFonts w:hint="eastAsia"/>
          <w:sz w:val="20"/>
          <w:szCs w:val="20"/>
          <w:lang w:val="en-US" w:eastAsia="zh-CN"/>
        </w:rPr>
        <w:t>,</w:t>
      </w:r>
      <w:r>
        <w:rPr>
          <w:rFonts w:hint="default"/>
          <w:sz w:val="20"/>
          <w:szCs w:val="20"/>
          <w:lang w:val="en-US" w:eastAsia="zh-CN"/>
        </w:rPr>
        <w:t>OTA test enhancements - CLTA</w:t>
      </w:r>
      <w:r>
        <w:rPr>
          <w:rFonts w:hint="eastAsia"/>
          <w:sz w:val="20"/>
          <w:szCs w:val="20"/>
          <w:lang w:val="en-US" w:eastAsia="zh-CN"/>
        </w:rPr>
        <w:t>, Nokia</w:t>
      </w:r>
    </w:p>
    <w:p w14:paraId="3034F03F">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zh-CN"/>
        </w:rPr>
        <w:t>R4-2409955, Way forward for [111][311] NR_BS_RF, Approved.</w:t>
      </w:r>
    </w:p>
    <w:p w14:paraId="4697AEA4">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en-US"/>
        </w:rPr>
        <w:t>R4-2416574</w:t>
      </w:r>
      <w:r>
        <w:rPr>
          <w:rFonts w:hint="eastAsia"/>
          <w:sz w:val="20"/>
          <w:szCs w:val="20"/>
          <w:lang w:val="en-US" w:eastAsia="zh-CN"/>
        </w:rPr>
        <w:t>,</w:t>
      </w:r>
      <w:r>
        <w:rPr>
          <w:rFonts w:hint="eastAsia"/>
          <w:sz w:val="20"/>
          <w:szCs w:val="20"/>
          <w:lang w:val="en-US" w:eastAsia="en-US"/>
        </w:rPr>
        <w:t>Way Forward for [112bis][303] NR_BS_RF_Part2_CLTA</w:t>
      </w:r>
      <w:r>
        <w:rPr>
          <w:rFonts w:hint="eastAsia"/>
          <w:sz w:val="20"/>
          <w:szCs w:val="20"/>
          <w:lang w:val="en-US" w:eastAsia="zh-CN"/>
        </w:rPr>
        <w:t>, Huawei, approved.</w:t>
      </w:r>
    </w:p>
    <w:p w14:paraId="660611D0">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R4-2419797</w:t>
      </w:r>
      <w:r>
        <w:rPr>
          <w:rFonts w:hint="eastAsia"/>
          <w:sz w:val="20"/>
          <w:szCs w:val="20"/>
          <w:lang w:val="en-US" w:eastAsia="zh-CN"/>
        </w:rPr>
        <w:t>,</w:t>
      </w:r>
      <w:r>
        <w:rPr>
          <w:rFonts w:hint="eastAsia"/>
          <w:sz w:val="20"/>
          <w:szCs w:val="20"/>
          <w:lang w:val="en-US" w:eastAsia="en-US"/>
        </w:rPr>
        <w:t>Way Forward for [113][303] NR_BS_RF_Part2_CLTA</w:t>
      </w:r>
      <w:r>
        <w:rPr>
          <w:rFonts w:hint="eastAsia"/>
          <w:sz w:val="20"/>
          <w:szCs w:val="20"/>
          <w:lang w:val="en-US" w:eastAsia="zh-CN"/>
        </w:rPr>
        <w:t>, Approved</w:t>
      </w:r>
    </w:p>
    <w:p w14:paraId="2D5F1913">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RP-243270</w:t>
      </w:r>
      <w:r>
        <w:rPr>
          <w:rFonts w:hint="eastAsia"/>
          <w:sz w:val="20"/>
          <w:szCs w:val="20"/>
          <w:lang w:val="en-US" w:eastAsia="zh-CN"/>
        </w:rPr>
        <w:t>,Revised WID: NR base station (BS) RF requirement evolution for FR1/FR2 and testing, approved.</w:t>
      </w:r>
    </w:p>
    <w:p w14:paraId="60C01A44">
      <w:pPr>
        <w:pStyle w:val="55"/>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r>
        <w:rPr>
          <w:rFonts w:hint="eastAsia"/>
          <w:sz w:val="20"/>
          <w:szCs w:val="20"/>
          <w:lang w:val="en-US" w:eastAsia="en-US"/>
        </w:rPr>
        <w:t>R4-2502279</w:t>
      </w:r>
      <w:r>
        <w:rPr>
          <w:rFonts w:hint="eastAsia"/>
          <w:sz w:val="20"/>
          <w:szCs w:val="20"/>
          <w:lang w:val="en-US" w:eastAsia="zh-CN"/>
        </w:rPr>
        <w:t xml:space="preserve">, </w:t>
      </w:r>
      <w:r>
        <w:rPr>
          <w:rFonts w:hint="eastAsia"/>
          <w:sz w:val="20"/>
          <w:szCs w:val="20"/>
          <w:lang w:val="en-US" w:eastAsia="en-US"/>
        </w:rPr>
        <w:t>Way Forward for [114][303] NR_BS_RF_Part2_CLTA</w:t>
      </w:r>
      <w:r>
        <w:rPr>
          <w:rFonts w:hint="eastAsia"/>
          <w:sz w:val="20"/>
          <w:szCs w:val="20"/>
          <w:lang w:val="en-US" w:eastAsia="zh-CN"/>
        </w:rPr>
        <w:t>, Huawei, approved.</w:t>
      </w:r>
    </w:p>
    <w:p w14:paraId="7158561A">
      <w:pPr>
        <w:pStyle w:val="55"/>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en-US"/>
        </w:rPr>
      </w:pPr>
    </w:p>
    <w:p w14:paraId="62F87EA5">
      <w:pPr>
        <w:pStyle w:val="55"/>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7E873CDB">
      <w:pPr>
        <w:pStyle w:val="55"/>
        <w:numPr>
          <w:ilvl w:val="0"/>
          <w:numId w:val="0"/>
        </w:numPr>
        <w:rPr>
          <w:rFonts w:hint="eastAsia"/>
          <w:sz w:val="20"/>
          <w:szCs w:val="20"/>
        </w:rPr>
      </w:pPr>
    </w:p>
    <w:p w14:paraId="6477FC20">
      <w:pPr>
        <w:pStyle w:val="55"/>
        <w:numPr>
          <w:ilvl w:val="-1"/>
          <w:numId w:val="0"/>
        </w:numPr>
        <w:rPr>
          <w:sz w:val="20"/>
          <w:szCs w:val="20"/>
        </w:rPr>
      </w:pPr>
    </w:p>
    <w:p w14:paraId="5A68BFA7">
      <w:pPr>
        <w:pStyle w:val="55"/>
        <w:numPr>
          <w:ilvl w:val="-1"/>
          <w:numId w:val="0"/>
        </w:numPr>
        <w:rPr>
          <w:sz w:val="20"/>
          <w:szCs w:val="20"/>
        </w:rPr>
      </w:pPr>
    </w:p>
    <w:p w14:paraId="02150FBF">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10900">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AB1AC"/>
    <w:multiLevelType w:val="singleLevel"/>
    <w:tmpl w:val="821AB1AC"/>
    <w:lvl w:ilvl="0" w:tentative="0">
      <w:start w:val="1"/>
      <w:numFmt w:val="bullet"/>
      <w:lvlText w:val=""/>
      <w:lvlJc w:val="left"/>
      <w:pPr>
        <w:ind w:left="420" w:hanging="420"/>
      </w:pPr>
      <w:rPr>
        <w:rFonts w:hint="default" w:ascii="Wingdings" w:hAnsi="Wingdings"/>
      </w:rPr>
    </w:lvl>
  </w:abstractNum>
  <w:abstractNum w:abstractNumId="1">
    <w:nsid w:val="A2C05BB9"/>
    <w:multiLevelType w:val="singleLevel"/>
    <w:tmpl w:val="A2C05BB9"/>
    <w:lvl w:ilvl="0" w:tentative="0">
      <w:start w:val="1"/>
      <w:numFmt w:val="bullet"/>
      <w:lvlText w:val="‒"/>
      <w:lvlJc w:val="left"/>
      <w:pPr>
        <w:ind w:left="420" w:leftChars="0" w:hanging="420" w:firstLineChars="0"/>
      </w:pPr>
      <w:rPr>
        <w:rFonts w:hint="default" w:ascii="Arial" w:hAnsi="Arial" w:cs="Arial"/>
      </w:rPr>
    </w:lvl>
  </w:abstractNum>
  <w:abstractNum w:abstractNumId="2">
    <w:nsid w:val="DC7EF559"/>
    <w:multiLevelType w:val="singleLevel"/>
    <w:tmpl w:val="DC7EF559"/>
    <w:lvl w:ilvl="0" w:tentative="0">
      <w:start w:val="1"/>
      <w:numFmt w:val="decimal"/>
      <w:suff w:val="space"/>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09"/>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1EE5613B"/>
    <w:multiLevelType w:val="multilevel"/>
    <w:tmpl w:val="1EE5613B"/>
    <w:lvl w:ilvl="0" w:tentative="0">
      <w:start w:val="1"/>
      <w:numFmt w:val="lowerLetter"/>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F805443"/>
    <w:multiLevelType w:val="multilevel"/>
    <w:tmpl w:val="3F805443"/>
    <w:lvl w:ilvl="0" w:tentative="0">
      <w:start w:val="3"/>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310120"/>
    <w:multiLevelType w:val="multilevel"/>
    <w:tmpl w:val="4A310120"/>
    <w:lvl w:ilvl="0" w:tentative="0">
      <w:start w:val="1"/>
      <w:numFmt w:val="decimal"/>
      <w:pStyle w:val="110"/>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8A78005"/>
    <w:multiLevelType w:val="singleLevel"/>
    <w:tmpl w:val="68A78005"/>
    <w:lvl w:ilvl="0" w:tentative="0">
      <w:start w:val="1"/>
      <w:numFmt w:val="decimal"/>
      <w:suff w:val="space"/>
      <w:lvlText w:val="%1)"/>
      <w:lvlJc w:val="left"/>
    </w:lvl>
  </w:abstractNum>
  <w:abstractNum w:abstractNumId="11">
    <w:nsid w:val="7A8E6381"/>
    <w:multiLevelType w:val="multilevel"/>
    <w:tmpl w:val="7A8E6381"/>
    <w:lvl w:ilvl="0" w:tentative="0">
      <w:start w:val="3"/>
      <w:numFmt w:val="bullet"/>
      <w:lvlText w:val="-"/>
      <w:lvlJc w:val="left"/>
      <w:pPr>
        <w:ind w:left="720" w:hanging="360"/>
      </w:pPr>
      <w:rPr>
        <w:rFonts w:hint="default" w:ascii="Times New Roman" w:hAnsi="Times New Roman" w:eastAsia="Times New Roman" w:cs="Times New Roman"/>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4"/>
  </w:num>
  <w:num w:numId="3">
    <w:abstractNumId w:val="7"/>
  </w:num>
  <w:num w:numId="4">
    <w:abstractNumId w:val="11"/>
  </w:num>
  <w:num w:numId="5">
    <w:abstractNumId w:val="5"/>
  </w:num>
  <w:num w:numId="6">
    <w:abstractNumId w:val="6"/>
  </w:num>
  <w:num w:numId="7">
    <w:abstractNumId w:val="8"/>
  </w:num>
  <w:num w:numId="8">
    <w:abstractNumId w:val="2"/>
  </w:num>
  <w:num w:numId="9">
    <w:abstractNumId w:val="0"/>
  </w:num>
  <w:num w:numId="10">
    <w:abstractNumId w:val="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2CDB"/>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7B54CB"/>
    <w:rsid w:val="03822F79"/>
    <w:rsid w:val="038B3715"/>
    <w:rsid w:val="039568DC"/>
    <w:rsid w:val="0395764C"/>
    <w:rsid w:val="039B69FD"/>
    <w:rsid w:val="03A32E58"/>
    <w:rsid w:val="03AC2829"/>
    <w:rsid w:val="03B728E0"/>
    <w:rsid w:val="03BD03F7"/>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F3D36"/>
    <w:rsid w:val="04034FE6"/>
    <w:rsid w:val="040B2442"/>
    <w:rsid w:val="040B2534"/>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A74686"/>
    <w:rsid w:val="04C6655F"/>
    <w:rsid w:val="04CD2C67"/>
    <w:rsid w:val="04D66461"/>
    <w:rsid w:val="04D95F6F"/>
    <w:rsid w:val="04E06510"/>
    <w:rsid w:val="04ED5A99"/>
    <w:rsid w:val="04FB4499"/>
    <w:rsid w:val="04FF76AB"/>
    <w:rsid w:val="05010225"/>
    <w:rsid w:val="051034CD"/>
    <w:rsid w:val="051C4A8C"/>
    <w:rsid w:val="051F43BC"/>
    <w:rsid w:val="052432F7"/>
    <w:rsid w:val="05280A89"/>
    <w:rsid w:val="052A278C"/>
    <w:rsid w:val="052D14A7"/>
    <w:rsid w:val="05367F8C"/>
    <w:rsid w:val="053C34DE"/>
    <w:rsid w:val="053E1AC2"/>
    <w:rsid w:val="053E2B5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35ADC"/>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94569"/>
    <w:rsid w:val="06BA7F49"/>
    <w:rsid w:val="06BB4F9D"/>
    <w:rsid w:val="06C72EBF"/>
    <w:rsid w:val="06C76C7A"/>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13C26"/>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463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82368"/>
    <w:rsid w:val="0A3A0D5D"/>
    <w:rsid w:val="0A436A63"/>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12DFC"/>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A1272"/>
    <w:rsid w:val="0CCD3B1C"/>
    <w:rsid w:val="0CD648E3"/>
    <w:rsid w:val="0CD70749"/>
    <w:rsid w:val="0CDB6FDB"/>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D2CC7"/>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15942"/>
    <w:rsid w:val="0EE47A7C"/>
    <w:rsid w:val="0EE77EDF"/>
    <w:rsid w:val="0EEC53AA"/>
    <w:rsid w:val="0EF75D05"/>
    <w:rsid w:val="0EF957FE"/>
    <w:rsid w:val="0EFE2ACB"/>
    <w:rsid w:val="0F0569D4"/>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941EA"/>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41CCA"/>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54E9B"/>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32F45"/>
    <w:rsid w:val="15D4474D"/>
    <w:rsid w:val="15D7597F"/>
    <w:rsid w:val="15E32BB5"/>
    <w:rsid w:val="15F53F0F"/>
    <w:rsid w:val="160A26D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43C63"/>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E6505"/>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B02AE4"/>
    <w:rsid w:val="1AB359A1"/>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45128"/>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51F00"/>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B452B"/>
    <w:rsid w:val="1DFC4095"/>
    <w:rsid w:val="1E02615D"/>
    <w:rsid w:val="1E034158"/>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C1621"/>
    <w:rsid w:val="1EED7A29"/>
    <w:rsid w:val="1EFF45DA"/>
    <w:rsid w:val="1F0D14F3"/>
    <w:rsid w:val="1F0E3B92"/>
    <w:rsid w:val="1F120D07"/>
    <w:rsid w:val="1F141EF2"/>
    <w:rsid w:val="1F176598"/>
    <w:rsid w:val="1F280D38"/>
    <w:rsid w:val="1F303EA7"/>
    <w:rsid w:val="1F30637A"/>
    <w:rsid w:val="1F3111CE"/>
    <w:rsid w:val="1F323579"/>
    <w:rsid w:val="1F332153"/>
    <w:rsid w:val="1F3B22B0"/>
    <w:rsid w:val="1F3C6AF7"/>
    <w:rsid w:val="1F405E44"/>
    <w:rsid w:val="1F4315DA"/>
    <w:rsid w:val="1F474931"/>
    <w:rsid w:val="1F4956E2"/>
    <w:rsid w:val="1F4A3D83"/>
    <w:rsid w:val="1F4E681F"/>
    <w:rsid w:val="1F5174F6"/>
    <w:rsid w:val="1F5324C1"/>
    <w:rsid w:val="1F561E2A"/>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40AF9"/>
    <w:rsid w:val="21252CA9"/>
    <w:rsid w:val="212F6A59"/>
    <w:rsid w:val="213020AE"/>
    <w:rsid w:val="21306305"/>
    <w:rsid w:val="213170F5"/>
    <w:rsid w:val="21330562"/>
    <w:rsid w:val="21335DA6"/>
    <w:rsid w:val="21361B20"/>
    <w:rsid w:val="213D2F0D"/>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A0A33"/>
    <w:rsid w:val="224E39DE"/>
    <w:rsid w:val="224E74D0"/>
    <w:rsid w:val="22520D88"/>
    <w:rsid w:val="225C17EC"/>
    <w:rsid w:val="225C1E49"/>
    <w:rsid w:val="22680B07"/>
    <w:rsid w:val="22681A0E"/>
    <w:rsid w:val="226E20BA"/>
    <w:rsid w:val="226F6A0D"/>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211333"/>
    <w:rsid w:val="2423778D"/>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B6A3F"/>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F446B"/>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20899"/>
    <w:rsid w:val="28A66523"/>
    <w:rsid w:val="28AD2029"/>
    <w:rsid w:val="28AE4FA7"/>
    <w:rsid w:val="28B135BA"/>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37FF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63F30"/>
    <w:rsid w:val="2A676AD0"/>
    <w:rsid w:val="2A687AA6"/>
    <w:rsid w:val="2A6A2073"/>
    <w:rsid w:val="2A7317FC"/>
    <w:rsid w:val="2A752F2D"/>
    <w:rsid w:val="2A770CC7"/>
    <w:rsid w:val="2A780832"/>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60845"/>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64A3E"/>
    <w:rsid w:val="2BE708F0"/>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F2CFF"/>
    <w:rsid w:val="2D306B85"/>
    <w:rsid w:val="2D313196"/>
    <w:rsid w:val="2D323D75"/>
    <w:rsid w:val="2D3F06B2"/>
    <w:rsid w:val="2D400A9F"/>
    <w:rsid w:val="2D526117"/>
    <w:rsid w:val="2D540857"/>
    <w:rsid w:val="2D590555"/>
    <w:rsid w:val="2D621327"/>
    <w:rsid w:val="2D621C05"/>
    <w:rsid w:val="2D63255D"/>
    <w:rsid w:val="2D6F3D99"/>
    <w:rsid w:val="2D726428"/>
    <w:rsid w:val="2D770975"/>
    <w:rsid w:val="2D7A06F1"/>
    <w:rsid w:val="2D8151A4"/>
    <w:rsid w:val="2D822B6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34B46"/>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0506A"/>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9660F"/>
    <w:rsid w:val="2FDB17E1"/>
    <w:rsid w:val="2FE20568"/>
    <w:rsid w:val="2FE37171"/>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757BF"/>
    <w:rsid w:val="302E1CAD"/>
    <w:rsid w:val="302E5A4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47035"/>
    <w:rsid w:val="31E83A8A"/>
    <w:rsid w:val="31F20023"/>
    <w:rsid w:val="31F31FF7"/>
    <w:rsid w:val="31F52FE4"/>
    <w:rsid w:val="31F536F7"/>
    <w:rsid w:val="31FA7AEE"/>
    <w:rsid w:val="31FB60C5"/>
    <w:rsid w:val="3200233A"/>
    <w:rsid w:val="32021A78"/>
    <w:rsid w:val="3209100C"/>
    <w:rsid w:val="321516D5"/>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6980"/>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610DDA"/>
    <w:rsid w:val="336124DA"/>
    <w:rsid w:val="3362171F"/>
    <w:rsid w:val="3366319E"/>
    <w:rsid w:val="336A11D9"/>
    <w:rsid w:val="336C2B69"/>
    <w:rsid w:val="336F5120"/>
    <w:rsid w:val="337009B5"/>
    <w:rsid w:val="337333AD"/>
    <w:rsid w:val="33743B62"/>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717FA"/>
    <w:rsid w:val="342D3CE2"/>
    <w:rsid w:val="34333AFC"/>
    <w:rsid w:val="34343D6C"/>
    <w:rsid w:val="34347DC5"/>
    <w:rsid w:val="34380493"/>
    <w:rsid w:val="34463967"/>
    <w:rsid w:val="344C08D2"/>
    <w:rsid w:val="345179FF"/>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720D"/>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32BC8"/>
    <w:rsid w:val="371A057C"/>
    <w:rsid w:val="371A5A8E"/>
    <w:rsid w:val="371B03AE"/>
    <w:rsid w:val="371E6151"/>
    <w:rsid w:val="37200042"/>
    <w:rsid w:val="37235104"/>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22A48"/>
    <w:rsid w:val="37663E25"/>
    <w:rsid w:val="376741E9"/>
    <w:rsid w:val="376B106B"/>
    <w:rsid w:val="376B527C"/>
    <w:rsid w:val="3772660A"/>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43D30"/>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616CAD"/>
    <w:rsid w:val="3A654A7F"/>
    <w:rsid w:val="3A6A3486"/>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E596A"/>
    <w:rsid w:val="3AF05C24"/>
    <w:rsid w:val="3AF17E09"/>
    <w:rsid w:val="3AF47143"/>
    <w:rsid w:val="3AF90FF9"/>
    <w:rsid w:val="3AF932C9"/>
    <w:rsid w:val="3AFD37D0"/>
    <w:rsid w:val="3AFE021B"/>
    <w:rsid w:val="3B016EE9"/>
    <w:rsid w:val="3B027CA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DB0AC5"/>
    <w:rsid w:val="3FE1096B"/>
    <w:rsid w:val="3FE210C1"/>
    <w:rsid w:val="3FE403AE"/>
    <w:rsid w:val="3FE417DA"/>
    <w:rsid w:val="3FE85226"/>
    <w:rsid w:val="3FEB1C22"/>
    <w:rsid w:val="3FEC4DA4"/>
    <w:rsid w:val="3FEE2117"/>
    <w:rsid w:val="3FF17476"/>
    <w:rsid w:val="3FFA4D1C"/>
    <w:rsid w:val="3FFA58A6"/>
    <w:rsid w:val="3FFA5C63"/>
    <w:rsid w:val="3FFD735E"/>
    <w:rsid w:val="40073561"/>
    <w:rsid w:val="40073E39"/>
    <w:rsid w:val="400A1CFC"/>
    <w:rsid w:val="401C54A8"/>
    <w:rsid w:val="401D6DEE"/>
    <w:rsid w:val="401F7AF6"/>
    <w:rsid w:val="40201634"/>
    <w:rsid w:val="402079EB"/>
    <w:rsid w:val="402C52D5"/>
    <w:rsid w:val="40351564"/>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7562"/>
    <w:rsid w:val="40FA38BC"/>
    <w:rsid w:val="40FE1447"/>
    <w:rsid w:val="41053DED"/>
    <w:rsid w:val="410F43CA"/>
    <w:rsid w:val="411333C0"/>
    <w:rsid w:val="411C3143"/>
    <w:rsid w:val="411E6FB6"/>
    <w:rsid w:val="41216875"/>
    <w:rsid w:val="41221EBF"/>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4E37D0"/>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CF52B4"/>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0E6370"/>
    <w:rsid w:val="441208E8"/>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A22D2"/>
    <w:rsid w:val="452C5F0A"/>
    <w:rsid w:val="453401C9"/>
    <w:rsid w:val="45347499"/>
    <w:rsid w:val="453579B0"/>
    <w:rsid w:val="45385EDA"/>
    <w:rsid w:val="453F48AB"/>
    <w:rsid w:val="454036A6"/>
    <w:rsid w:val="45432A2A"/>
    <w:rsid w:val="45446179"/>
    <w:rsid w:val="45462E84"/>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5E6263"/>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648B"/>
    <w:rsid w:val="488C5FA3"/>
    <w:rsid w:val="488D22FD"/>
    <w:rsid w:val="488E25F1"/>
    <w:rsid w:val="48903EFC"/>
    <w:rsid w:val="48931F3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64070"/>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A27F3"/>
    <w:rsid w:val="4A7C49BE"/>
    <w:rsid w:val="4A7D09F3"/>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03279"/>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A5655"/>
    <w:rsid w:val="4BDC6EEC"/>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A77FF"/>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E0B28"/>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00716"/>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4562E"/>
    <w:rsid w:val="4F6E6F86"/>
    <w:rsid w:val="4F6F001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A77E4"/>
    <w:rsid w:val="505F1426"/>
    <w:rsid w:val="506309DB"/>
    <w:rsid w:val="50752AF6"/>
    <w:rsid w:val="50771C00"/>
    <w:rsid w:val="50772144"/>
    <w:rsid w:val="507D06D8"/>
    <w:rsid w:val="508027D4"/>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A1A2F"/>
    <w:rsid w:val="526A546C"/>
    <w:rsid w:val="52790FD9"/>
    <w:rsid w:val="52887A7D"/>
    <w:rsid w:val="52894DE6"/>
    <w:rsid w:val="528A605B"/>
    <w:rsid w:val="528C5E23"/>
    <w:rsid w:val="528D1034"/>
    <w:rsid w:val="52993DA6"/>
    <w:rsid w:val="529B5EE8"/>
    <w:rsid w:val="529F0D9B"/>
    <w:rsid w:val="52A54FA4"/>
    <w:rsid w:val="52AD7835"/>
    <w:rsid w:val="52BC0926"/>
    <w:rsid w:val="52BF7DD2"/>
    <w:rsid w:val="52CA3D8F"/>
    <w:rsid w:val="52CD21D8"/>
    <w:rsid w:val="52CF0A4A"/>
    <w:rsid w:val="52D84BFF"/>
    <w:rsid w:val="52DA2383"/>
    <w:rsid w:val="52DB10B0"/>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44DA8"/>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6257F"/>
    <w:rsid w:val="56676126"/>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45850"/>
    <w:rsid w:val="58A948C8"/>
    <w:rsid w:val="58AB1BA9"/>
    <w:rsid w:val="58B156C4"/>
    <w:rsid w:val="58B47394"/>
    <w:rsid w:val="58B80220"/>
    <w:rsid w:val="58B8443B"/>
    <w:rsid w:val="58B92428"/>
    <w:rsid w:val="58BB0B5F"/>
    <w:rsid w:val="58BC4002"/>
    <w:rsid w:val="58C47A68"/>
    <w:rsid w:val="58C6178A"/>
    <w:rsid w:val="58C77385"/>
    <w:rsid w:val="58CB4EB8"/>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534F6"/>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D054B7"/>
    <w:rsid w:val="5AD149C0"/>
    <w:rsid w:val="5AD20D04"/>
    <w:rsid w:val="5AD308BE"/>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03935"/>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617A7"/>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55799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5B2B5A"/>
    <w:rsid w:val="5E5F0687"/>
    <w:rsid w:val="5E6454D9"/>
    <w:rsid w:val="5E680BE8"/>
    <w:rsid w:val="5E6B7FF0"/>
    <w:rsid w:val="5E6E17B7"/>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65461"/>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51BBC"/>
    <w:rsid w:val="60281FCD"/>
    <w:rsid w:val="602876AC"/>
    <w:rsid w:val="602D6A03"/>
    <w:rsid w:val="603215F4"/>
    <w:rsid w:val="603771DA"/>
    <w:rsid w:val="603A1B77"/>
    <w:rsid w:val="60447E31"/>
    <w:rsid w:val="604C5236"/>
    <w:rsid w:val="605006BC"/>
    <w:rsid w:val="60584E5C"/>
    <w:rsid w:val="606162D0"/>
    <w:rsid w:val="60674769"/>
    <w:rsid w:val="606E2944"/>
    <w:rsid w:val="606F545C"/>
    <w:rsid w:val="607079E9"/>
    <w:rsid w:val="60734371"/>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64182"/>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19C3"/>
    <w:rsid w:val="632936A9"/>
    <w:rsid w:val="632D6DAA"/>
    <w:rsid w:val="632E0749"/>
    <w:rsid w:val="632F06D8"/>
    <w:rsid w:val="63311536"/>
    <w:rsid w:val="63311C4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55EC6"/>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1C32D6"/>
    <w:rsid w:val="64225C1C"/>
    <w:rsid w:val="642437E9"/>
    <w:rsid w:val="64340283"/>
    <w:rsid w:val="64340FCD"/>
    <w:rsid w:val="64377182"/>
    <w:rsid w:val="643B7181"/>
    <w:rsid w:val="643E4883"/>
    <w:rsid w:val="643F3FFC"/>
    <w:rsid w:val="644A69BC"/>
    <w:rsid w:val="644C372C"/>
    <w:rsid w:val="645026F0"/>
    <w:rsid w:val="64521327"/>
    <w:rsid w:val="645256C0"/>
    <w:rsid w:val="645B5DC0"/>
    <w:rsid w:val="645D3A6B"/>
    <w:rsid w:val="64613F6F"/>
    <w:rsid w:val="646310B8"/>
    <w:rsid w:val="64654C7D"/>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02555"/>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67104F"/>
    <w:rsid w:val="66727620"/>
    <w:rsid w:val="66763229"/>
    <w:rsid w:val="66763EED"/>
    <w:rsid w:val="66782A0E"/>
    <w:rsid w:val="667930F9"/>
    <w:rsid w:val="6679372B"/>
    <w:rsid w:val="667B3C56"/>
    <w:rsid w:val="66822EA8"/>
    <w:rsid w:val="668B6CBD"/>
    <w:rsid w:val="66953491"/>
    <w:rsid w:val="66980BF6"/>
    <w:rsid w:val="66A27600"/>
    <w:rsid w:val="66A56CDB"/>
    <w:rsid w:val="66AC1D02"/>
    <w:rsid w:val="66AD6467"/>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139AD"/>
    <w:rsid w:val="68650339"/>
    <w:rsid w:val="68651915"/>
    <w:rsid w:val="68670AE1"/>
    <w:rsid w:val="686A0AB4"/>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67EF2"/>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D1EDE"/>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562FC"/>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6073E"/>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12679"/>
    <w:rsid w:val="6C1407B4"/>
    <w:rsid w:val="6C150C0B"/>
    <w:rsid w:val="6C155F31"/>
    <w:rsid w:val="6C1D7BEB"/>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52C79"/>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56A3"/>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339A"/>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30322"/>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33C3"/>
    <w:rsid w:val="716D67F7"/>
    <w:rsid w:val="716E08C5"/>
    <w:rsid w:val="71747EDF"/>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569C1"/>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662E5"/>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B4B15"/>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00303"/>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3B0"/>
    <w:rsid w:val="78C67D14"/>
    <w:rsid w:val="78C67F88"/>
    <w:rsid w:val="78C9689B"/>
    <w:rsid w:val="78CD3535"/>
    <w:rsid w:val="78D97F0E"/>
    <w:rsid w:val="78DA009A"/>
    <w:rsid w:val="78DC2FA9"/>
    <w:rsid w:val="78DD4939"/>
    <w:rsid w:val="78E062D1"/>
    <w:rsid w:val="78E33F6B"/>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8F43AA"/>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C46EB"/>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CD2F2C"/>
    <w:rsid w:val="7BD01BA1"/>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CB3154"/>
    <w:rsid w:val="7FD277AE"/>
    <w:rsid w:val="7FDA2CD0"/>
    <w:rsid w:val="7FDB769F"/>
    <w:rsid w:val="7FE60FE4"/>
    <w:rsid w:val="7FEC3961"/>
    <w:rsid w:val="7FEC7AE0"/>
    <w:rsid w:val="7FEE568F"/>
    <w:rsid w:val="7FEF3E84"/>
    <w:rsid w:val="7FF10D9A"/>
    <w:rsid w:val="7FF1341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Observation"/>
    <w:basedOn w:val="110"/>
    <w:qFormat/>
    <w:uiPriority w:val="0"/>
    <w:pPr>
      <w:numPr>
        <w:ilvl w:val="0"/>
        <w:numId w:val="2"/>
      </w:numPr>
      <w:jc w:val="left"/>
    </w:pPr>
    <w:rPr>
      <w:bCs w:val="0"/>
      <w:i/>
      <w:kern w:val="24"/>
    </w:rPr>
  </w:style>
  <w:style w:type="paragraph" w:customStyle="1" w:styleId="110">
    <w:name w:val="Proposal"/>
    <w:basedOn w:val="15"/>
    <w:next w:val="111"/>
    <w:qFormat/>
    <w:uiPriority w:val="0"/>
    <w:pPr>
      <w:numPr>
        <w:ilvl w:val="0"/>
        <w:numId w:val="3"/>
      </w:numPr>
      <w:spacing w:before="240"/>
      <w:jc w:val="both"/>
    </w:pPr>
    <w:rPr>
      <w:b/>
      <w:bCs/>
      <w:lang w:val="en-US"/>
    </w:rPr>
  </w:style>
  <w:style w:type="paragraph" w:customStyle="1" w:styleId="111">
    <w:name w:val="00 BodyText"/>
    <w:basedOn w:val="1"/>
    <w:qFormat/>
    <w:uiPriority w:val="0"/>
    <w:pPr>
      <w:overflowPunct/>
      <w:autoSpaceDE/>
      <w:autoSpaceDN/>
      <w:adjustRightInd/>
      <w:spacing w:after="220"/>
      <w:textAlignment w:val="auto"/>
    </w:pPr>
    <w:rPr>
      <w:rFonts w:ascii="Arial" w:hAnsi="Arial"/>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14</Pages>
  <Words>636</Words>
  <Characters>3745</Characters>
  <Lines>82</Lines>
  <Paragraphs>23</Paragraphs>
  <TotalTime>0</TotalTime>
  <ScaleCrop>false</ScaleCrop>
  <LinksUpToDate>false</LinksUpToDate>
  <CharactersWithSpaces>4371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2025-03-28T14:04:06Z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